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8E125" w14:textId="77777777" w:rsidR="004571B9" w:rsidRDefault="004571B9" w:rsidP="004571B9">
      <w:pPr>
        <w:spacing w:before="240" w:after="240" w:line="280" w:lineRule="exact"/>
        <w:rPr>
          <w:rFonts w:ascii="Arial" w:hAnsi="Arial" w:cs="Arial"/>
          <w:b/>
          <w:sz w:val="28"/>
          <w:szCs w:val="28"/>
        </w:rPr>
      </w:pPr>
    </w:p>
    <w:p w14:paraId="08620523" w14:textId="75735B1D" w:rsidR="004571B9" w:rsidRDefault="00592A53" w:rsidP="004571B9">
      <w:pPr>
        <w:spacing w:before="240" w:after="240" w:line="280" w:lineRule="exact"/>
        <w:rPr>
          <w:rFonts w:ascii="Arial" w:hAnsi="Arial" w:cs="Arial"/>
          <w:b/>
          <w:sz w:val="28"/>
          <w:szCs w:val="28"/>
        </w:rPr>
      </w:pPr>
      <w:r>
        <w:rPr>
          <w:rFonts w:ascii="Arial" w:hAnsi="Arial" w:cs="Arial"/>
          <w:b/>
          <w:sz w:val="28"/>
          <w:szCs w:val="28"/>
        </w:rPr>
        <w:t>Performance Report</w:t>
      </w:r>
      <w:r w:rsidR="00CA5BBC">
        <w:rPr>
          <w:rFonts w:ascii="Arial" w:hAnsi="Arial" w:cs="Arial"/>
          <w:b/>
          <w:sz w:val="28"/>
          <w:szCs w:val="28"/>
        </w:rPr>
        <w:t xml:space="preserve"> and MOU for </w:t>
      </w:r>
      <w:r w:rsidR="00C73EED">
        <w:rPr>
          <w:rFonts w:ascii="Arial" w:hAnsi="Arial" w:cs="Arial"/>
          <w:b/>
          <w:sz w:val="28"/>
          <w:szCs w:val="28"/>
        </w:rPr>
        <w:t>20</w:t>
      </w:r>
      <w:r w:rsidR="00CA5BBC">
        <w:rPr>
          <w:rFonts w:ascii="Arial" w:hAnsi="Arial" w:cs="Arial"/>
          <w:b/>
          <w:sz w:val="28"/>
          <w:szCs w:val="28"/>
        </w:rPr>
        <w:t>17/18</w:t>
      </w:r>
    </w:p>
    <w:p w14:paraId="1211A89F" w14:textId="77777777" w:rsidR="00C73EED" w:rsidRDefault="00C73EED" w:rsidP="0090119F">
      <w:pPr>
        <w:spacing w:before="240" w:after="240" w:line="280" w:lineRule="exact"/>
        <w:rPr>
          <w:rFonts w:ascii="Arial" w:hAnsi="Arial" w:cs="Arial"/>
          <w:b/>
          <w:sz w:val="22"/>
          <w:szCs w:val="22"/>
        </w:rPr>
      </w:pPr>
    </w:p>
    <w:p w14:paraId="48E9B7F0" w14:textId="4CC328BF" w:rsidR="004571B9" w:rsidRPr="00C73EED" w:rsidRDefault="0090119F" w:rsidP="00C73EED">
      <w:pPr>
        <w:spacing w:before="240" w:after="240" w:line="280" w:lineRule="exact"/>
        <w:rPr>
          <w:rFonts w:ascii="Arial" w:hAnsi="Arial" w:cs="Arial"/>
          <w:b/>
          <w:sz w:val="22"/>
          <w:szCs w:val="22"/>
        </w:rPr>
      </w:pPr>
      <w:r w:rsidRPr="00C73EED">
        <w:rPr>
          <w:rFonts w:ascii="Arial" w:hAnsi="Arial" w:cs="Arial"/>
          <w:b/>
          <w:sz w:val="22"/>
          <w:szCs w:val="22"/>
        </w:rPr>
        <w:t>P</w:t>
      </w:r>
      <w:r w:rsidR="004571B9" w:rsidRPr="00C73EED">
        <w:rPr>
          <w:rFonts w:ascii="Arial" w:hAnsi="Arial" w:cs="Arial"/>
          <w:b/>
          <w:sz w:val="22"/>
          <w:szCs w:val="22"/>
        </w:rPr>
        <w:t xml:space="preserve">urpose </w:t>
      </w:r>
    </w:p>
    <w:p w14:paraId="49424821" w14:textId="6D04D7EE" w:rsidR="004571B9" w:rsidRPr="00C73EED" w:rsidRDefault="004571B9" w:rsidP="004571B9">
      <w:pPr>
        <w:rPr>
          <w:rFonts w:ascii="Arial" w:hAnsi="Arial" w:cs="Arial"/>
          <w:b/>
          <w:sz w:val="22"/>
          <w:szCs w:val="22"/>
        </w:rPr>
      </w:pPr>
      <w:r w:rsidRPr="00C73EED">
        <w:rPr>
          <w:rFonts w:ascii="Arial" w:hAnsi="Arial" w:cs="Arial"/>
          <w:sz w:val="22"/>
          <w:szCs w:val="22"/>
        </w:rPr>
        <w:t>For d</w:t>
      </w:r>
      <w:r w:rsidR="006F500E" w:rsidRPr="00C73EED">
        <w:rPr>
          <w:rFonts w:ascii="Arial" w:hAnsi="Arial" w:cs="Arial"/>
          <w:sz w:val="22"/>
          <w:szCs w:val="22"/>
        </w:rPr>
        <w:t>iscussion</w:t>
      </w:r>
      <w:r w:rsidR="00C73EED">
        <w:rPr>
          <w:rFonts w:ascii="Arial" w:hAnsi="Arial" w:cs="Arial"/>
          <w:sz w:val="22"/>
          <w:szCs w:val="22"/>
        </w:rPr>
        <w:t>.</w:t>
      </w:r>
    </w:p>
    <w:p w14:paraId="0ED600F1" w14:textId="77777777" w:rsidR="004571B9" w:rsidRPr="00C73EED" w:rsidRDefault="004571B9" w:rsidP="004571B9">
      <w:pPr>
        <w:rPr>
          <w:rFonts w:ascii="Arial" w:hAnsi="Arial" w:cs="Arial"/>
          <w:b/>
          <w:sz w:val="22"/>
          <w:szCs w:val="22"/>
        </w:rPr>
      </w:pPr>
    </w:p>
    <w:p w14:paraId="42EEE70E" w14:textId="77777777" w:rsidR="004571B9" w:rsidRPr="00C73EED" w:rsidRDefault="004571B9" w:rsidP="004571B9">
      <w:pPr>
        <w:rPr>
          <w:rFonts w:ascii="Arial" w:hAnsi="Arial" w:cs="Arial"/>
          <w:sz w:val="22"/>
          <w:szCs w:val="22"/>
        </w:rPr>
      </w:pPr>
      <w:r w:rsidRPr="00C73EED">
        <w:rPr>
          <w:rFonts w:ascii="Arial" w:hAnsi="Arial" w:cs="Arial"/>
          <w:b/>
          <w:sz w:val="22"/>
          <w:szCs w:val="22"/>
        </w:rPr>
        <w:t>Summary</w:t>
      </w:r>
    </w:p>
    <w:p w14:paraId="6222E531" w14:textId="77777777" w:rsidR="004571B9" w:rsidRPr="00C73EED" w:rsidRDefault="004571B9" w:rsidP="004571B9">
      <w:pPr>
        <w:rPr>
          <w:rFonts w:ascii="Arial" w:hAnsi="Arial" w:cs="Arial"/>
          <w:sz w:val="22"/>
          <w:szCs w:val="22"/>
        </w:rPr>
      </w:pPr>
    </w:p>
    <w:p w14:paraId="6FBF7239" w14:textId="3A6C77F2" w:rsidR="00C568BF" w:rsidRPr="00C73EED" w:rsidRDefault="00B57AED" w:rsidP="004571B9">
      <w:pPr>
        <w:rPr>
          <w:rFonts w:ascii="Arial" w:hAnsi="Arial" w:cs="Arial"/>
          <w:sz w:val="22"/>
          <w:szCs w:val="22"/>
        </w:rPr>
      </w:pPr>
      <w:r w:rsidRPr="00C73EED">
        <w:rPr>
          <w:rFonts w:ascii="Arial" w:hAnsi="Arial" w:cs="Arial"/>
          <w:sz w:val="22"/>
          <w:szCs w:val="22"/>
        </w:rPr>
        <w:t>Th</w:t>
      </w:r>
      <w:r w:rsidR="009A1CE2" w:rsidRPr="00C73EED">
        <w:rPr>
          <w:rFonts w:ascii="Arial" w:hAnsi="Arial" w:cs="Arial"/>
          <w:sz w:val="22"/>
          <w:szCs w:val="22"/>
        </w:rPr>
        <w:t xml:space="preserve">e report presents an update of </w:t>
      </w:r>
      <w:r w:rsidR="00010011" w:rsidRPr="00C73EED">
        <w:rPr>
          <w:rFonts w:ascii="Arial" w:hAnsi="Arial" w:cs="Arial"/>
          <w:sz w:val="22"/>
          <w:szCs w:val="22"/>
        </w:rPr>
        <w:t xml:space="preserve">performance against </w:t>
      </w:r>
      <w:r w:rsidR="004E0590" w:rsidRPr="00C73EED">
        <w:rPr>
          <w:rFonts w:ascii="Arial" w:hAnsi="Arial" w:cs="Arial"/>
          <w:sz w:val="22"/>
          <w:szCs w:val="22"/>
        </w:rPr>
        <w:t xml:space="preserve">the Memorandum of Understanding </w:t>
      </w:r>
      <w:r w:rsidR="00C73EED">
        <w:rPr>
          <w:rFonts w:ascii="Arial" w:hAnsi="Arial" w:cs="Arial"/>
          <w:sz w:val="22"/>
          <w:szCs w:val="22"/>
        </w:rPr>
        <w:t xml:space="preserve">(MoU) </w:t>
      </w:r>
      <w:r w:rsidR="009A1CE2" w:rsidRPr="00C73EED">
        <w:rPr>
          <w:rFonts w:ascii="Arial" w:hAnsi="Arial" w:cs="Arial"/>
          <w:sz w:val="22"/>
          <w:szCs w:val="22"/>
        </w:rPr>
        <w:t xml:space="preserve">the LGA/IDeA have with </w:t>
      </w:r>
      <w:r w:rsidR="00C73EED">
        <w:rPr>
          <w:rFonts w:ascii="Arial" w:hAnsi="Arial" w:cs="Arial"/>
          <w:sz w:val="22"/>
          <w:szCs w:val="22"/>
        </w:rPr>
        <w:t xml:space="preserve">the </w:t>
      </w:r>
      <w:r w:rsidR="004E0590" w:rsidRPr="00C73EED">
        <w:rPr>
          <w:rFonts w:ascii="Arial" w:hAnsi="Arial" w:cs="Arial"/>
          <w:sz w:val="22"/>
          <w:szCs w:val="22"/>
        </w:rPr>
        <w:t>D</w:t>
      </w:r>
      <w:r w:rsidR="00C73EED">
        <w:rPr>
          <w:rFonts w:ascii="Arial" w:hAnsi="Arial" w:cs="Arial"/>
          <w:sz w:val="22"/>
          <w:szCs w:val="22"/>
        </w:rPr>
        <w:t xml:space="preserve">epartment of </w:t>
      </w:r>
      <w:r w:rsidR="004E0590" w:rsidRPr="00C73EED">
        <w:rPr>
          <w:rFonts w:ascii="Arial" w:hAnsi="Arial" w:cs="Arial"/>
          <w:sz w:val="22"/>
          <w:szCs w:val="22"/>
        </w:rPr>
        <w:t>C</w:t>
      </w:r>
      <w:r w:rsidR="00C73EED">
        <w:rPr>
          <w:rFonts w:ascii="Arial" w:hAnsi="Arial" w:cs="Arial"/>
          <w:sz w:val="22"/>
          <w:szCs w:val="22"/>
        </w:rPr>
        <w:t xml:space="preserve">ommunities and </w:t>
      </w:r>
      <w:r w:rsidR="004E0590" w:rsidRPr="00C73EED">
        <w:rPr>
          <w:rFonts w:ascii="Arial" w:hAnsi="Arial" w:cs="Arial"/>
          <w:sz w:val="22"/>
          <w:szCs w:val="22"/>
        </w:rPr>
        <w:t>L</w:t>
      </w:r>
      <w:r w:rsidR="00C73EED">
        <w:rPr>
          <w:rFonts w:ascii="Arial" w:hAnsi="Arial" w:cs="Arial"/>
          <w:sz w:val="22"/>
          <w:szCs w:val="22"/>
        </w:rPr>
        <w:t xml:space="preserve">ocal </w:t>
      </w:r>
      <w:r w:rsidR="004E0590" w:rsidRPr="00C73EED">
        <w:rPr>
          <w:rFonts w:ascii="Arial" w:hAnsi="Arial" w:cs="Arial"/>
          <w:sz w:val="22"/>
          <w:szCs w:val="22"/>
        </w:rPr>
        <w:t>G</w:t>
      </w:r>
      <w:r w:rsidR="00C73EED">
        <w:rPr>
          <w:rFonts w:ascii="Arial" w:hAnsi="Arial" w:cs="Arial"/>
          <w:sz w:val="22"/>
          <w:szCs w:val="22"/>
        </w:rPr>
        <w:t>overnment (DCLG)</w:t>
      </w:r>
      <w:r w:rsidR="004E0590" w:rsidRPr="00C73EED">
        <w:rPr>
          <w:rFonts w:ascii="Arial" w:hAnsi="Arial" w:cs="Arial"/>
          <w:sz w:val="22"/>
          <w:szCs w:val="22"/>
        </w:rPr>
        <w:t xml:space="preserve"> about the use of </w:t>
      </w:r>
      <w:r w:rsidR="0090636C" w:rsidRPr="00C73EED">
        <w:rPr>
          <w:rFonts w:ascii="Arial" w:hAnsi="Arial" w:cs="Arial"/>
          <w:sz w:val="22"/>
          <w:szCs w:val="22"/>
        </w:rPr>
        <w:t>grant</w:t>
      </w:r>
      <w:r w:rsidR="00CA5BBC" w:rsidRPr="00C73EED">
        <w:rPr>
          <w:rFonts w:ascii="Arial" w:hAnsi="Arial" w:cs="Arial"/>
          <w:sz w:val="22"/>
          <w:szCs w:val="22"/>
        </w:rPr>
        <w:t xml:space="preserve"> for 2016/17 and the finalised MOU agreed with DCLG for 2017/18.  </w:t>
      </w:r>
    </w:p>
    <w:p w14:paraId="1E8DE45A" w14:textId="77777777" w:rsidR="004571B9" w:rsidRPr="00C73EED" w:rsidRDefault="004571B9" w:rsidP="004571B9">
      <w:pPr>
        <w:rPr>
          <w:rFonts w:ascii="Arial" w:hAnsi="Arial" w:cs="Arial"/>
          <w:sz w:val="22"/>
          <w:szCs w:val="22"/>
        </w:rPr>
      </w:pPr>
    </w:p>
    <w:p w14:paraId="447E1D0C" w14:textId="77777777" w:rsidR="004571B9" w:rsidRPr="00C73EED"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C73EED" w14:paraId="570032EC" w14:textId="77777777" w:rsidTr="003B5722">
        <w:tc>
          <w:tcPr>
            <w:tcW w:w="9157" w:type="dxa"/>
          </w:tcPr>
          <w:p w14:paraId="352D32B9" w14:textId="77777777" w:rsidR="004571B9" w:rsidRPr="00C73EED" w:rsidRDefault="004571B9" w:rsidP="004571B9">
            <w:pPr>
              <w:rPr>
                <w:rFonts w:ascii="Arial" w:hAnsi="Arial" w:cs="Arial"/>
                <w:b/>
                <w:sz w:val="22"/>
                <w:szCs w:val="22"/>
              </w:rPr>
            </w:pPr>
          </w:p>
          <w:p w14:paraId="21FFA31F" w14:textId="77777777" w:rsidR="004571B9" w:rsidRPr="00C73EED" w:rsidRDefault="00010011" w:rsidP="004571B9">
            <w:pPr>
              <w:rPr>
                <w:rFonts w:ascii="Arial" w:hAnsi="Arial" w:cs="Arial"/>
                <w:b/>
                <w:sz w:val="22"/>
                <w:szCs w:val="22"/>
              </w:rPr>
            </w:pPr>
            <w:r w:rsidRPr="00C73EED">
              <w:rPr>
                <w:rFonts w:ascii="Arial" w:hAnsi="Arial" w:cs="Arial"/>
                <w:b/>
                <w:sz w:val="22"/>
                <w:szCs w:val="22"/>
              </w:rPr>
              <w:t>Recommendation</w:t>
            </w:r>
          </w:p>
          <w:p w14:paraId="6721B3C7" w14:textId="77777777" w:rsidR="004571B9" w:rsidRPr="00C73EED" w:rsidRDefault="004571B9" w:rsidP="004571B9">
            <w:pPr>
              <w:rPr>
                <w:rFonts w:ascii="Arial" w:hAnsi="Arial" w:cs="Arial"/>
                <w:sz w:val="22"/>
                <w:szCs w:val="22"/>
              </w:rPr>
            </w:pPr>
          </w:p>
          <w:p w14:paraId="12FAB921" w14:textId="3B947282" w:rsidR="006F500E" w:rsidRPr="00C73EED" w:rsidRDefault="001C203A" w:rsidP="001C203A">
            <w:pPr>
              <w:rPr>
                <w:rFonts w:ascii="Arial" w:hAnsi="Arial" w:cs="Arial"/>
                <w:sz w:val="22"/>
                <w:szCs w:val="22"/>
              </w:rPr>
            </w:pPr>
            <w:r w:rsidRPr="00C73EED">
              <w:rPr>
                <w:rFonts w:ascii="Arial" w:hAnsi="Arial" w:cs="Arial"/>
                <w:sz w:val="22"/>
                <w:szCs w:val="22"/>
              </w:rPr>
              <w:t>That</w:t>
            </w:r>
            <w:r w:rsidR="00C2381A">
              <w:rPr>
                <w:rFonts w:ascii="Arial" w:hAnsi="Arial" w:cs="Arial"/>
                <w:sz w:val="22"/>
                <w:szCs w:val="22"/>
              </w:rPr>
              <w:t xml:space="preserve"> the Improvement &amp; Innovation Board</w:t>
            </w:r>
            <w:r w:rsidR="006F500E" w:rsidRPr="00C73EED">
              <w:rPr>
                <w:rFonts w:ascii="Arial" w:hAnsi="Arial" w:cs="Arial"/>
                <w:sz w:val="22"/>
                <w:szCs w:val="22"/>
              </w:rPr>
              <w:t xml:space="preserve"> considers the report and agrees any follow-up action.</w:t>
            </w:r>
          </w:p>
          <w:p w14:paraId="379CE6AE" w14:textId="77777777" w:rsidR="004571B9" w:rsidRPr="00C73EED" w:rsidRDefault="004571B9" w:rsidP="004571B9">
            <w:pPr>
              <w:rPr>
                <w:rFonts w:ascii="Arial" w:hAnsi="Arial" w:cs="Arial"/>
                <w:sz w:val="22"/>
                <w:szCs w:val="22"/>
              </w:rPr>
            </w:pPr>
          </w:p>
          <w:p w14:paraId="194A63D3" w14:textId="5FDB2A50" w:rsidR="004571B9" w:rsidRPr="00C73EED" w:rsidRDefault="00C73EED" w:rsidP="004571B9">
            <w:pPr>
              <w:rPr>
                <w:rFonts w:ascii="Arial" w:hAnsi="Arial" w:cs="Arial"/>
                <w:b/>
                <w:sz w:val="22"/>
                <w:szCs w:val="22"/>
              </w:rPr>
            </w:pPr>
            <w:r>
              <w:rPr>
                <w:rFonts w:ascii="Arial" w:hAnsi="Arial" w:cs="Arial"/>
                <w:b/>
                <w:sz w:val="22"/>
                <w:szCs w:val="22"/>
              </w:rPr>
              <w:t>Action</w:t>
            </w:r>
          </w:p>
          <w:p w14:paraId="55E45B7C" w14:textId="77777777" w:rsidR="004571B9" w:rsidRPr="00C73EED" w:rsidRDefault="004571B9" w:rsidP="004571B9">
            <w:pPr>
              <w:rPr>
                <w:rFonts w:ascii="Arial" w:hAnsi="Arial" w:cs="Arial"/>
                <w:b/>
                <w:sz w:val="22"/>
                <w:szCs w:val="22"/>
              </w:rPr>
            </w:pPr>
          </w:p>
          <w:p w14:paraId="349688FA" w14:textId="77777777" w:rsidR="004571B9" w:rsidRPr="00C73EED" w:rsidRDefault="001C203A" w:rsidP="004571B9">
            <w:pPr>
              <w:rPr>
                <w:rFonts w:ascii="Arial" w:hAnsi="Arial" w:cs="Arial"/>
                <w:sz w:val="22"/>
                <w:szCs w:val="22"/>
              </w:rPr>
            </w:pPr>
            <w:r w:rsidRPr="00C73EED">
              <w:rPr>
                <w:rFonts w:ascii="Arial" w:hAnsi="Arial" w:cs="Arial"/>
                <w:sz w:val="22"/>
                <w:szCs w:val="22"/>
              </w:rPr>
              <w:t>Officers to initiate any required action</w:t>
            </w:r>
            <w:r w:rsidR="00B034C3" w:rsidRPr="00C73EED">
              <w:rPr>
                <w:rFonts w:ascii="Arial" w:hAnsi="Arial" w:cs="Arial"/>
                <w:sz w:val="22"/>
                <w:szCs w:val="22"/>
              </w:rPr>
              <w:t>.</w:t>
            </w:r>
          </w:p>
          <w:p w14:paraId="0E11AC00" w14:textId="77777777" w:rsidR="004571B9" w:rsidRPr="00C73EED" w:rsidRDefault="004571B9" w:rsidP="004571B9">
            <w:pPr>
              <w:rPr>
                <w:rFonts w:ascii="Arial" w:hAnsi="Arial" w:cs="Arial"/>
                <w:b/>
                <w:sz w:val="22"/>
                <w:szCs w:val="22"/>
              </w:rPr>
            </w:pPr>
          </w:p>
        </w:tc>
      </w:tr>
    </w:tbl>
    <w:p w14:paraId="3DAE670B" w14:textId="77777777" w:rsidR="004571B9" w:rsidRPr="00C73EED" w:rsidRDefault="004571B9" w:rsidP="004571B9">
      <w:pPr>
        <w:rPr>
          <w:rFonts w:ascii="Arial" w:hAnsi="Arial" w:cs="Arial"/>
          <w:sz w:val="22"/>
          <w:szCs w:val="22"/>
        </w:rPr>
      </w:pPr>
    </w:p>
    <w:p w14:paraId="66B3ECA2" w14:textId="77777777" w:rsidR="004571B9" w:rsidRPr="00C73EED" w:rsidRDefault="004571B9" w:rsidP="004571B9">
      <w:pPr>
        <w:rPr>
          <w:rFonts w:ascii="Arial" w:hAnsi="Arial" w:cs="Arial"/>
          <w:sz w:val="22"/>
          <w:szCs w:val="22"/>
        </w:rPr>
      </w:pPr>
    </w:p>
    <w:p w14:paraId="4CB186A5" w14:textId="77777777" w:rsidR="006F500E" w:rsidRPr="00C73EED" w:rsidRDefault="006F500E" w:rsidP="004571B9">
      <w:pPr>
        <w:rPr>
          <w:rFonts w:ascii="Arial" w:hAnsi="Arial" w:cs="Arial"/>
          <w:sz w:val="22"/>
          <w:szCs w:val="22"/>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C73EED" w14:paraId="06A2B11E" w14:textId="77777777" w:rsidTr="001C203A">
        <w:tc>
          <w:tcPr>
            <w:tcW w:w="2635" w:type="dxa"/>
          </w:tcPr>
          <w:p w14:paraId="51875244" w14:textId="77777777" w:rsidR="001C203A" w:rsidRPr="00C73EED" w:rsidRDefault="001C203A" w:rsidP="004571B9">
            <w:pPr>
              <w:spacing w:before="120"/>
              <w:rPr>
                <w:rFonts w:ascii="Arial" w:hAnsi="Arial" w:cs="Arial"/>
                <w:sz w:val="22"/>
                <w:szCs w:val="22"/>
              </w:rPr>
            </w:pPr>
            <w:r w:rsidRPr="00C73EED">
              <w:rPr>
                <w:rFonts w:ascii="Arial" w:hAnsi="Arial" w:cs="Arial"/>
                <w:b/>
                <w:sz w:val="22"/>
                <w:szCs w:val="22"/>
              </w:rPr>
              <w:t>Contact officer:</w:t>
            </w:r>
            <w:r w:rsidRPr="00C73EED">
              <w:rPr>
                <w:rFonts w:ascii="Arial" w:hAnsi="Arial" w:cs="Arial"/>
                <w:sz w:val="22"/>
                <w:szCs w:val="22"/>
              </w:rPr>
              <w:t xml:space="preserve"> </w:t>
            </w:r>
          </w:p>
        </w:tc>
        <w:tc>
          <w:tcPr>
            <w:tcW w:w="3569" w:type="dxa"/>
          </w:tcPr>
          <w:p w14:paraId="4F6BCAE0" w14:textId="77777777" w:rsidR="001C203A" w:rsidRPr="00C73EED" w:rsidRDefault="004E0590" w:rsidP="004E0590">
            <w:pPr>
              <w:spacing w:before="120"/>
              <w:rPr>
                <w:rFonts w:ascii="Arial" w:hAnsi="Arial" w:cs="Arial"/>
                <w:sz w:val="22"/>
                <w:szCs w:val="22"/>
              </w:rPr>
            </w:pPr>
            <w:r w:rsidRPr="00C73EED">
              <w:rPr>
                <w:rFonts w:ascii="Arial" w:hAnsi="Arial" w:cs="Arial"/>
                <w:sz w:val="22"/>
                <w:szCs w:val="22"/>
              </w:rPr>
              <w:t>Dennis Skinner</w:t>
            </w:r>
          </w:p>
        </w:tc>
        <w:tc>
          <w:tcPr>
            <w:tcW w:w="2976" w:type="dxa"/>
          </w:tcPr>
          <w:p w14:paraId="7552DAD9" w14:textId="77777777" w:rsidR="001C203A" w:rsidRPr="00C73EED" w:rsidRDefault="001C203A" w:rsidP="004571B9">
            <w:pPr>
              <w:spacing w:before="120"/>
              <w:rPr>
                <w:rFonts w:ascii="Arial" w:hAnsi="Arial" w:cs="Arial"/>
                <w:sz w:val="22"/>
                <w:szCs w:val="22"/>
              </w:rPr>
            </w:pPr>
          </w:p>
        </w:tc>
      </w:tr>
      <w:tr w:rsidR="001C203A" w:rsidRPr="00C73EED" w14:paraId="34CDE5E5" w14:textId="77777777" w:rsidTr="001C203A">
        <w:tc>
          <w:tcPr>
            <w:tcW w:w="2635" w:type="dxa"/>
          </w:tcPr>
          <w:p w14:paraId="2A719029" w14:textId="77777777" w:rsidR="001C203A" w:rsidRPr="00C73EED" w:rsidRDefault="001C203A" w:rsidP="004571B9">
            <w:pPr>
              <w:spacing w:before="120"/>
              <w:rPr>
                <w:rFonts w:ascii="Arial" w:hAnsi="Arial" w:cs="Arial"/>
                <w:b/>
                <w:sz w:val="22"/>
                <w:szCs w:val="22"/>
              </w:rPr>
            </w:pPr>
            <w:r w:rsidRPr="00C73EED">
              <w:rPr>
                <w:rFonts w:ascii="Arial" w:hAnsi="Arial" w:cs="Arial"/>
                <w:b/>
                <w:sz w:val="22"/>
                <w:szCs w:val="22"/>
              </w:rPr>
              <w:t>Position:</w:t>
            </w:r>
          </w:p>
        </w:tc>
        <w:tc>
          <w:tcPr>
            <w:tcW w:w="3569" w:type="dxa"/>
          </w:tcPr>
          <w:p w14:paraId="61B43A93" w14:textId="77777777" w:rsidR="001C203A" w:rsidRPr="00C73EED" w:rsidRDefault="001C203A" w:rsidP="004E0590">
            <w:pPr>
              <w:spacing w:before="120"/>
              <w:rPr>
                <w:rFonts w:ascii="Arial" w:hAnsi="Arial" w:cs="Arial"/>
                <w:sz w:val="22"/>
                <w:szCs w:val="22"/>
              </w:rPr>
            </w:pPr>
            <w:r w:rsidRPr="00C73EED">
              <w:rPr>
                <w:rFonts w:ascii="Arial" w:hAnsi="Arial" w:cs="Arial"/>
                <w:sz w:val="22"/>
                <w:szCs w:val="22"/>
              </w:rPr>
              <w:t xml:space="preserve">Head of </w:t>
            </w:r>
            <w:r w:rsidR="004E0590" w:rsidRPr="00C73EED">
              <w:rPr>
                <w:rFonts w:ascii="Arial" w:hAnsi="Arial" w:cs="Arial"/>
                <w:sz w:val="22"/>
                <w:szCs w:val="22"/>
              </w:rPr>
              <w:t>Improvement</w:t>
            </w:r>
          </w:p>
        </w:tc>
        <w:tc>
          <w:tcPr>
            <w:tcW w:w="2976" w:type="dxa"/>
          </w:tcPr>
          <w:p w14:paraId="5A3816C2" w14:textId="77777777" w:rsidR="001C203A" w:rsidRPr="00C73EED" w:rsidRDefault="001C203A" w:rsidP="004571B9">
            <w:pPr>
              <w:spacing w:before="120"/>
              <w:rPr>
                <w:rFonts w:ascii="Arial" w:hAnsi="Arial" w:cs="Arial"/>
                <w:sz w:val="22"/>
                <w:szCs w:val="22"/>
              </w:rPr>
            </w:pPr>
          </w:p>
        </w:tc>
      </w:tr>
      <w:tr w:rsidR="001C203A" w:rsidRPr="00C73EED" w14:paraId="19458F0F" w14:textId="77777777" w:rsidTr="001C203A">
        <w:tc>
          <w:tcPr>
            <w:tcW w:w="2635" w:type="dxa"/>
          </w:tcPr>
          <w:p w14:paraId="59F95EBA" w14:textId="77777777" w:rsidR="001C203A" w:rsidRPr="00C73EED" w:rsidRDefault="001C203A" w:rsidP="004571B9">
            <w:pPr>
              <w:spacing w:before="120"/>
              <w:rPr>
                <w:rFonts w:ascii="Arial" w:hAnsi="Arial" w:cs="Arial"/>
                <w:b/>
                <w:sz w:val="22"/>
                <w:szCs w:val="22"/>
              </w:rPr>
            </w:pPr>
            <w:r w:rsidRPr="00C73EED">
              <w:rPr>
                <w:rFonts w:ascii="Arial" w:hAnsi="Arial" w:cs="Arial"/>
                <w:b/>
                <w:sz w:val="22"/>
                <w:szCs w:val="22"/>
              </w:rPr>
              <w:t>Phone no:</w:t>
            </w:r>
          </w:p>
        </w:tc>
        <w:tc>
          <w:tcPr>
            <w:tcW w:w="3569" w:type="dxa"/>
          </w:tcPr>
          <w:p w14:paraId="4EB3EBEC" w14:textId="77777777" w:rsidR="001C203A" w:rsidRPr="00C73EED" w:rsidRDefault="001C203A" w:rsidP="004E0590">
            <w:pPr>
              <w:spacing w:before="120"/>
              <w:rPr>
                <w:rFonts w:ascii="Arial" w:hAnsi="Arial" w:cs="Arial"/>
                <w:sz w:val="22"/>
                <w:szCs w:val="22"/>
              </w:rPr>
            </w:pPr>
            <w:r w:rsidRPr="00C73EED">
              <w:rPr>
                <w:rFonts w:ascii="Arial" w:hAnsi="Arial" w:cs="Arial"/>
                <w:sz w:val="22"/>
                <w:szCs w:val="22"/>
              </w:rPr>
              <w:t>020 7664 3</w:t>
            </w:r>
            <w:r w:rsidR="004E0590" w:rsidRPr="00C73EED">
              <w:rPr>
                <w:rFonts w:ascii="Arial" w:hAnsi="Arial" w:cs="Arial"/>
                <w:sz w:val="22"/>
                <w:szCs w:val="22"/>
              </w:rPr>
              <w:t>017</w:t>
            </w:r>
          </w:p>
        </w:tc>
        <w:tc>
          <w:tcPr>
            <w:tcW w:w="2976" w:type="dxa"/>
          </w:tcPr>
          <w:p w14:paraId="676E9B38" w14:textId="77777777" w:rsidR="001C203A" w:rsidRPr="00C73EED" w:rsidRDefault="001C203A" w:rsidP="004571B9">
            <w:pPr>
              <w:spacing w:before="120"/>
              <w:rPr>
                <w:rFonts w:ascii="Arial" w:hAnsi="Arial" w:cs="Arial"/>
                <w:sz w:val="22"/>
                <w:szCs w:val="22"/>
              </w:rPr>
            </w:pPr>
          </w:p>
        </w:tc>
      </w:tr>
      <w:tr w:rsidR="001C203A" w:rsidRPr="00C73EED" w14:paraId="4D5CB62D" w14:textId="77777777" w:rsidTr="001C203A">
        <w:trPr>
          <w:trHeight w:val="507"/>
        </w:trPr>
        <w:tc>
          <w:tcPr>
            <w:tcW w:w="2635" w:type="dxa"/>
          </w:tcPr>
          <w:p w14:paraId="1C8DF284" w14:textId="77777777" w:rsidR="001C203A" w:rsidRPr="00C73EED" w:rsidRDefault="001C203A" w:rsidP="004571B9">
            <w:pPr>
              <w:spacing w:before="120"/>
              <w:rPr>
                <w:rFonts w:ascii="Arial" w:hAnsi="Arial" w:cs="Arial"/>
                <w:b/>
                <w:sz w:val="22"/>
                <w:szCs w:val="22"/>
              </w:rPr>
            </w:pPr>
            <w:r w:rsidRPr="00C73EED">
              <w:rPr>
                <w:rFonts w:ascii="Arial" w:hAnsi="Arial" w:cs="Arial"/>
                <w:b/>
                <w:sz w:val="22"/>
                <w:szCs w:val="22"/>
              </w:rPr>
              <w:t>Email:</w:t>
            </w:r>
          </w:p>
        </w:tc>
        <w:tc>
          <w:tcPr>
            <w:tcW w:w="3569" w:type="dxa"/>
          </w:tcPr>
          <w:p w14:paraId="0C9D710C" w14:textId="77777777" w:rsidR="001C203A" w:rsidRPr="00C73EED" w:rsidRDefault="00C2381A" w:rsidP="004571B9">
            <w:pPr>
              <w:spacing w:before="120"/>
              <w:rPr>
                <w:rFonts w:ascii="Arial" w:hAnsi="Arial" w:cs="Arial"/>
                <w:sz w:val="22"/>
                <w:szCs w:val="22"/>
              </w:rPr>
            </w:pPr>
            <w:hyperlink r:id="rId11" w:history="1">
              <w:r w:rsidR="004E0590" w:rsidRPr="00C73EED">
                <w:rPr>
                  <w:rStyle w:val="Hyperlink"/>
                  <w:rFonts w:ascii="Arial" w:hAnsi="Arial" w:cs="Arial"/>
                  <w:sz w:val="22"/>
                  <w:szCs w:val="22"/>
                </w:rPr>
                <w:t>dennis.skinner@local.gov.uk</w:t>
              </w:r>
            </w:hyperlink>
          </w:p>
          <w:p w14:paraId="0F068A97" w14:textId="77777777" w:rsidR="001C203A" w:rsidRPr="00C73EED" w:rsidRDefault="001C203A" w:rsidP="004571B9">
            <w:pPr>
              <w:spacing w:before="120"/>
              <w:rPr>
                <w:rFonts w:ascii="Arial" w:hAnsi="Arial" w:cs="Arial"/>
                <w:sz w:val="22"/>
                <w:szCs w:val="22"/>
              </w:rPr>
            </w:pPr>
          </w:p>
        </w:tc>
        <w:tc>
          <w:tcPr>
            <w:tcW w:w="2976" w:type="dxa"/>
          </w:tcPr>
          <w:p w14:paraId="08FF834C" w14:textId="77777777" w:rsidR="001C203A" w:rsidRPr="00C73EED" w:rsidRDefault="001C203A" w:rsidP="004571B9">
            <w:pPr>
              <w:spacing w:before="120"/>
              <w:rPr>
                <w:rFonts w:ascii="Arial" w:hAnsi="Arial" w:cs="Arial"/>
                <w:sz w:val="22"/>
                <w:szCs w:val="22"/>
              </w:rPr>
            </w:pPr>
          </w:p>
        </w:tc>
      </w:tr>
    </w:tbl>
    <w:p w14:paraId="78C5C5B2" w14:textId="77777777" w:rsidR="004571B9" w:rsidRPr="00C73EED" w:rsidRDefault="004571B9" w:rsidP="004571B9">
      <w:pPr>
        <w:rPr>
          <w:rFonts w:ascii="Arial" w:hAnsi="Arial" w:cs="Arial"/>
          <w:sz w:val="22"/>
          <w:szCs w:val="22"/>
        </w:rPr>
      </w:pPr>
    </w:p>
    <w:p w14:paraId="563E2656" w14:textId="77777777" w:rsidR="006F500E" w:rsidRPr="00C73EED" w:rsidRDefault="006F500E" w:rsidP="00DB12EF">
      <w:pPr>
        <w:spacing w:before="120" w:after="240" w:line="280" w:lineRule="exact"/>
        <w:rPr>
          <w:rFonts w:ascii="Arial" w:hAnsi="Arial" w:cs="Arial"/>
          <w:b/>
          <w:sz w:val="22"/>
          <w:szCs w:val="22"/>
        </w:rPr>
      </w:pPr>
    </w:p>
    <w:p w14:paraId="2951A801" w14:textId="77777777" w:rsidR="006F500E" w:rsidRDefault="006F500E" w:rsidP="00DB12EF">
      <w:pPr>
        <w:spacing w:before="120" w:after="240" w:line="280" w:lineRule="exact"/>
        <w:rPr>
          <w:rFonts w:ascii="Arial" w:hAnsi="Arial" w:cs="Arial"/>
          <w:b/>
          <w:sz w:val="22"/>
          <w:szCs w:val="22"/>
        </w:rPr>
      </w:pPr>
    </w:p>
    <w:p w14:paraId="4AC6D24C" w14:textId="77777777" w:rsidR="00C73EED" w:rsidRPr="00C73EED" w:rsidRDefault="00C73EED" w:rsidP="00DB12EF">
      <w:pPr>
        <w:spacing w:before="120" w:after="240" w:line="280" w:lineRule="exact"/>
        <w:rPr>
          <w:rFonts w:ascii="Arial" w:hAnsi="Arial" w:cs="Arial"/>
          <w:b/>
          <w:sz w:val="22"/>
          <w:szCs w:val="22"/>
        </w:rPr>
      </w:pPr>
    </w:p>
    <w:p w14:paraId="3CA70462" w14:textId="77777777" w:rsidR="00DB5BD4" w:rsidRPr="00C73EED" w:rsidRDefault="00DB5BD4" w:rsidP="00DB12EF">
      <w:pPr>
        <w:spacing w:before="120" w:after="240" w:line="280" w:lineRule="exact"/>
        <w:rPr>
          <w:rFonts w:ascii="Arial" w:hAnsi="Arial" w:cs="Arial"/>
          <w:b/>
          <w:sz w:val="22"/>
          <w:szCs w:val="22"/>
        </w:rPr>
      </w:pPr>
    </w:p>
    <w:p w14:paraId="6E5FEB28" w14:textId="77777777" w:rsidR="00DB5BD4" w:rsidRPr="00C73EED" w:rsidRDefault="00DB5BD4" w:rsidP="00DB12EF">
      <w:pPr>
        <w:spacing w:before="120" w:after="240" w:line="280" w:lineRule="exact"/>
        <w:rPr>
          <w:rFonts w:ascii="Arial" w:hAnsi="Arial" w:cs="Arial"/>
          <w:b/>
          <w:sz w:val="22"/>
          <w:szCs w:val="22"/>
        </w:rPr>
      </w:pPr>
    </w:p>
    <w:p w14:paraId="70CD4947" w14:textId="459EC616" w:rsidR="008852FC" w:rsidRPr="00C2381A" w:rsidRDefault="00C2381A" w:rsidP="00C73EED">
      <w:pPr>
        <w:spacing w:before="120" w:after="240" w:line="280" w:lineRule="exact"/>
        <w:rPr>
          <w:rFonts w:ascii="Arial" w:hAnsi="Arial" w:cs="Arial"/>
          <w:b/>
          <w:sz w:val="28"/>
          <w:szCs w:val="22"/>
        </w:rPr>
      </w:pPr>
      <w:r>
        <w:rPr>
          <w:rFonts w:ascii="Arial" w:hAnsi="Arial" w:cs="Arial"/>
          <w:b/>
          <w:sz w:val="28"/>
          <w:szCs w:val="22"/>
        </w:rPr>
        <w:lastRenderedPageBreak/>
        <w:t>Performance Report</w:t>
      </w:r>
    </w:p>
    <w:p w14:paraId="0E810A6E" w14:textId="77777777" w:rsidR="00944486" w:rsidRPr="00C73EED" w:rsidRDefault="00944486" w:rsidP="00C73EED">
      <w:pPr>
        <w:pStyle w:val="MainText"/>
        <w:spacing w:line="240" w:lineRule="auto"/>
        <w:rPr>
          <w:rFonts w:ascii="Arial" w:hAnsi="Arial" w:cs="Arial"/>
          <w:b/>
          <w:szCs w:val="22"/>
        </w:rPr>
      </w:pPr>
    </w:p>
    <w:p w14:paraId="2CCBEF65" w14:textId="169F9C84" w:rsidR="00C73EED" w:rsidRDefault="00F97D41" w:rsidP="00C73EED">
      <w:pPr>
        <w:pStyle w:val="MainText"/>
        <w:numPr>
          <w:ilvl w:val="0"/>
          <w:numId w:val="1"/>
        </w:numPr>
        <w:spacing w:after="240" w:line="240" w:lineRule="auto"/>
        <w:rPr>
          <w:rFonts w:ascii="Arial" w:hAnsi="Arial" w:cs="Arial"/>
          <w:b/>
          <w:szCs w:val="22"/>
        </w:rPr>
      </w:pPr>
      <w:r w:rsidRPr="00C73EED">
        <w:rPr>
          <w:rFonts w:ascii="Arial" w:hAnsi="Arial" w:cs="Arial"/>
          <w:b/>
          <w:szCs w:val="22"/>
        </w:rPr>
        <w:t>I</w:t>
      </w:r>
      <w:r w:rsidR="00C2381A">
        <w:rPr>
          <w:rFonts w:ascii="Arial" w:hAnsi="Arial" w:cs="Arial"/>
          <w:b/>
          <w:szCs w:val="22"/>
        </w:rPr>
        <w:t>ntroduction</w:t>
      </w:r>
    </w:p>
    <w:p w14:paraId="5893A4CF" w14:textId="77777777" w:rsidR="00C73EED" w:rsidRPr="00C73EED" w:rsidRDefault="00592A53" w:rsidP="00C73EED">
      <w:pPr>
        <w:pStyle w:val="MainText"/>
        <w:numPr>
          <w:ilvl w:val="1"/>
          <w:numId w:val="1"/>
        </w:numPr>
        <w:spacing w:after="240" w:line="240" w:lineRule="auto"/>
        <w:rPr>
          <w:rFonts w:ascii="Arial" w:hAnsi="Arial" w:cs="Arial"/>
          <w:b/>
          <w:szCs w:val="22"/>
        </w:rPr>
      </w:pPr>
      <w:r w:rsidRPr="00C73EED">
        <w:rPr>
          <w:rFonts w:ascii="Arial" w:hAnsi="Arial" w:cs="Arial"/>
          <w:szCs w:val="22"/>
        </w:rPr>
        <w:t>Thi</w:t>
      </w:r>
      <w:r w:rsidR="00CA5BBC" w:rsidRPr="00C73EED">
        <w:rPr>
          <w:rFonts w:ascii="Arial" w:hAnsi="Arial" w:cs="Arial"/>
          <w:szCs w:val="22"/>
        </w:rPr>
        <w:t xml:space="preserve">s report presents an update </w:t>
      </w:r>
      <w:r w:rsidRPr="00C73EED">
        <w:rPr>
          <w:rFonts w:ascii="Arial" w:hAnsi="Arial" w:cs="Arial"/>
          <w:szCs w:val="22"/>
        </w:rPr>
        <w:t>on performance against the key deliverables set out in the Mem</w:t>
      </w:r>
      <w:r w:rsidR="004E0590" w:rsidRPr="00C73EED">
        <w:rPr>
          <w:rFonts w:ascii="Arial" w:hAnsi="Arial" w:cs="Arial"/>
          <w:szCs w:val="22"/>
        </w:rPr>
        <w:t xml:space="preserve">orandum of Understanding </w:t>
      </w:r>
      <w:r w:rsidR="00D8529F" w:rsidRPr="00C73EED">
        <w:rPr>
          <w:rFonts w:ascii="Arial" w:hAnsi="Arial" w:cs="Arial"/>
          <w:szCs w:val="22"/>
        </w:rPr>
        <w:t>(Mo</w:t>
      </w:r>
      <w:r w:rsidR="005B1CA8" w:rsidRPr="00C73EED">
        <w:rPr>
          <w:rFonts w:ascii="Arial" w:hAnsi="Arial" w:cs="Arial"/>
          <w:szCs w:val="22"/>
        </w:rPr>
        <w:t xml:space="preserve">U) </w:t>
      </w:r>
      <w:r w:rsidR="004E0590" w:rsidRPr="00C73EED">
        <w:rPr>
          <w:rFonts w:ascii="Arial" w:hAnsi="Arial" w:cs="Arial"/>
          <w:szCs w:val="22"/>
        </w:rPr>
        <w:t xml:space="preserve">that </w:t>
      </w:r>
      <w:r w:rsidRPr="00C73EED">
        <w:rPr>
          <w:rFonts w:ascii="Arial" w:hAnsi="Arial" w:cs="Arial"/>
          <w:szCs w:val="22"/>
        </w:rPr>
        <w:t xml:space="preserve">is in </w:t>
      </w:r>
      <w:r w:rsidR="00767224" w:rsidRPr="00C73EED">
        <w:rPr>
          <w:rFonts w:ascii="Arial" w:hAnsi="Arial" w:cs="Arial"/>
          <w:szCs w:val="22"/>
        </w:rPr>
        <w:t>place</w:t>
      </w:r>
      <w:r w:rsidRPr="00C73EED">
        <w:rPr>
          <w:rFonts w:ascii="Arial" w:hAnsi="Arial" w:cs="Arial"/>
          <w:szCs w:val="22"/>
        </w:rPr>
        <w:t xml:space="preserve"> between the ID</w:t>
      </w:r>
      <w:r w:rsidR="00767224" w:rsidRPr="00C73EED">
        <w:rPr>
          <w:rFonts w:ascii="Arial" w:hAnsi="Arial" w:cs="Arial"/>
          <w:szCs w:val="22"/>
        </w:rPr>
        <w:t xml:space="preserve">eA and DCLG about use of the </w:t>
      </w:r>
      <w:r w:rsidR="0090636C" w:rsidRPr="00C73EED">
        <w:rPr>
          <w:rFonts w:ascii="Arial" w:hAnsi="Arial" w:cs="Arial"/>
          <w:szCs w:val="22"/>
        </w:rPr>
        <w:t>grant</w:t>
      </w:r>
      <w:r w:rsidRPr="00C73EED">
        <w:rPr>
          <w:rFonts w:ascii="Arial" w:hAnsi="Arial" w:cs="Arial"/>
          <w:szCs w:val="22"/>
        </w:rPr>
        <w:t xml:space="preserve"> allocated for 201</w:t>
      </w:r>
      <w:r w:rsidR="0090636C" w:rsidRPr="00C73EED">
        <w:rPr>
          <w:rFonts w:ascii="Arial" w:hAnsi="Arial" w:cs="Arial"/>
          <w:szCs w:val="22"/>
        </w:rPr>
        <w:t>6</w:t>
      </w:r>
      <w:r w:rsidRPr="00C73EED">
        <w:rPr>
          <w:rFonts w:ascii="Arial" w:hAnsi="Arial" w:cs="Arial"/>
          <w:szCs w:val="22"/>
        </w:rPr>
        <w:t>/1</w:t>
      </w:r>
      <w:r w:rsidR="00DB5BD4" w:rsidRPr="00C73EED">
        <w:rPr>
          <w:rFonts w:ascii="Arial" w:hAnsi="Arial" w:cs="Arial"/>
          <w:szCs w:val="22"/>
        </w:rPr>
        <w:t>7.</w:t>
      </w:r>
    </w:p>
    <w:p w14:paraId="6C7D7CE3" w14:textId="2F92965A" w:rsidR="00C73EED" w:rsidRPr="00C73EED" w:rsidRDefault="00CA5BBC" w:rsidP="00C73EED">
      <w:pPr>
        <w:pStyle w:val="MainText"/>
        <w:numPr>
          <w:ilvl w:val="1"/>
          <w:numId w:val="1"/>
        </w:numPr>
        <w:spacing w:after="240" w:line="240" w:lineRule="auto"/>
        <w:rPr>
          <w:rFonts w:ascii="Arial" w:hAnsi="Arial" w:cs="Arial"/>
          <w:b/>
          <w:szCs w:val="22"/>
        </w:rPr>
      </w:pPr>
      <w:r w:rsidRPr="00C73EED">
        <w:rPr>
          <w:rFonts w:ascii="Arial" w:hAnsi="Arial" w:cs="Arial"/>
          <w:szCs w:val="22"/>
        </w:rPr>
        <w:t>It also informs members about the MoU agreed covering 2017/18.</w:t>
      </w:r>
    </w:p>
    <w:p w14:paraId="2660DC5B" w14:textId="5E7B3D5F" w:rsidR="00C73EED" w:rsidRPr="00C73EED" w:rsidRDefault="00C2381A" w:rsidP="00C73EED">
      <w:pPr>
        <w:pStyle w:val="ListParagraph"/>
        <w:numPr>
          <w:ilvl w:val="0"/>
          <w:numId w:val="1"/>
        </w:numPr>
        <w:spacing w:after="240"/>
        <w:rPr>
          <w:rFonts w:ascii="Arial" w:hAnsi="Arial" w:cs="Arial"/>
          <w:b/>
          <w:sz w:val="22"/>
          <w:szCs w:val="22"/>
        </w:rPr>
      </w:pPr>
      <w:r>
        <w:rPr>
          <w:rFonts w:ascii="Arial" w:hAnsi="Arial" w:cs="Arial"/>
          <w:b/>
          <w:sz w:val="22"/>
          <w:szCs w:val="22"/>
        </w:rPr>
        <w:t>Performance summary for 2016/17</w:t>
      </w:r>
    </w:p>
    <w:p w14:paraId="33F51A66" w14:textId="46BE3056" w:rsidR="00C033AC" w:rsidRPr="00C73EED" w:rsidRDefault="00C033AC" w:rsidP="00C73EED">
      <w:pPr>
        <w:pStyle w:val="ListParagraph"/>
        <w:numPr>
          <w:ilvl w:val="1"/>
          <w:numId w:val="1"/>
        </w:numPr>
        <w:spacing w:after="240"/>
        <w:rPr>
          <w:rFonts w:ascii="Arial" w:hAnsi="Arial" w:cs="Arial"/>
          <w:b/>
          <w:sz w:val="22"/>
          <w:szCs w:val="22"/>
        </w:rPr>
      </w:pPr>
      <w:r w:rsidRPr="00C73EED">
        <w:rPr>
          <w:rFonts w:ascii="Arial" w:hAnsi="Arial" w:cs="Arial"/>
          <w:sz w:val="22"/>
          <w:szCs w:val="22"/>
        </w:rPr>
        <w:t xml:space="preserve">The table below summarises the </w:t>
      </w:r>
      <w:r w:rsidR="00482D34" w:rsidRPr="00C73EED">
        <w:rPr>
          <w:rFonts w:ascii="Arial" w:hAnsi="Arial" w:cs="Arial"/>
          <w:sz w:val="22"/>
          <w:szCs w:val="22"/>
        </w:rPr>
        <w:t>final end of year</w:t>
      </w:r>
      <w:r w:rsidR="00423509" w:rsidRPr="00C73EED">
        <w:rPr>
          <w:rFonts w:ascii="Arial" w:hAnsi="Arial" w:cs="Arial"/>
          <w:sz w:val="22"/>
          <w:szCs w:val="22"/>
        </w:rPr>
        <w:t xml:space="preserve"> pos</w:t>
      </w:r>
      <w:r w:rsidRPr="00C73EED">
        <w:rPr>
          <w:rFonts w:ascii="Arial" w:hAnsi="Arial" w:cs="Arial"/>
          <w:sz w:val="22"/>
          <w:szCs w:val="22"/>
        </w:rPr>
        <w:t xml:space="preserve">ition on </w:t>
      </w:r>
      <w:r w:rsidR="00423509" w:rsidRPr="00C73EED">
        <w:rPr>
          <w:rFonts w:ascii="Arial" w:hAnsi="Arial" w:cs="Arial"/>
          <w:sz w:val="22"/>
          <w:szCs w:val="22"/>
        </w:rPr>
        <w:t>the deliverables contained in the M</w:t>
      </w:r>
      <w:r w:rsidR="00DB5BD4" w:rsidRPr="00C73EED">
        <w:rPr>
          <w:rFonts w:ascii="Arial" w:hAnsi="Arial" w:cs="Arial"/>
          <w:sz w:val="22"/>
          <w:szCs w:val="22"/>
        </w:rPr>
        <w:t>o</w:t>
      </w:r>
      <w:r w:rsidR="00423509" w:rsidRPr="00C73EED">
        <w:rPr>
          <w:rFonts w:ascii="Arial" w:hAnsi="Arial" w:cs="Arial"/>
          <w:sz w:val="22"/>
          <w:szCs w:val="22"/>
        </w:rPr>
        <w:t>U</w:t>
      </w:r>
    </w:p>
    <w:tbl>
      <w:tblPr>
        <w:tblStyle w:val="TableGrid"/>
        <w:tblW w:w="0" w:type="auto"/>
        <w:tblInd w:w="0" w:type="dxa"/>
        <w:tblLook w:val="04A0" w:firstRow="1" w:lastRow="0" w:firstColumn="1" w:lastColumn="0" w:noHBand="0" w:noVBand="1"/>
      </w:tblPr>
      <w:tblGrid>
        <w:gridCol w:w="1980"/>
        <w:gridCol w:w="1559"/>
        <w:gridCol w:w="1701"/>
        <w:gridCol w:w="1701"/>
        <w:gridCol w:w="1355"/>
      </w:tblGrid>
      <w:tr w:rsidR="00946BC3" w:rsidRPr="00C73EED" w14:paraId="261DD136" w14:textId="77777777" w:rsidTr="00946BC3">
        <w:tc>
          <w:tcPr>
            <w:tcW w:w="1980" w:type="dxa"/>
          </w:tcPr>
          <w:p w14:paraId="5D027CC4" w14:textId="77777777" w:rsidR="00946BC3" w:rsidRPr="00C73EED" w:rsidRDefault="00946BC3" w:rsidP="00C73EED">
            <w:pPr>
              <w:spacing w:after="240" w:line="276" w:lineRule="auto"/>
              <w:rPr>
                <w:rFonts w:ascii="Arial" w:hAnsi="Arial" w:cs="Arial"/>
                <w:sz w:val="22"/>
                <w:szCs w:val="22"/>
              </w:rPr>
            </w:pPr>
          </w:p>
        </w:tc>
        <w:tc>
          <w:tcPr>
            <w:tcW w:w="1559" w:type="dxa"/>
          </w:tcPr>
          <w:p w14:paraId="43795082" w14:textId="77777777" w:rsidR="00946BC3" w:rsidRPr="00C73EED" w:rsidRDefault="00946BC3" w:rsidP="00C73EED">
            <w:pPr>
              <w:spacing w:after="240" w:line="276" w:lineRule="auto"/>
              <w:rPr>
                <w:rFonts w:ascii="Arial" w:hAnsi="Arial" w:cs="Arial"/>
                <w:sz w:val="22"/>
                <w:szCs w:val="22"/>
              </w:rPr>
            </w:pPr>
            <w:r w:rsidRPr="00C73EED">
              <w:rPr>
                <w:rFonts w:ascii="Arial" w:hAnsi="Arial" w:cs="Arial"/>
                <w:sz w:val="22"/>
                <w:szCs w:val="22"/>
              </w:rPr>
              <w:t>Total</w:t>
            </w:r>
          </w:p>
        </w:tc>
        <w:tc>
          <w:tcPr>
            <w:tcW w:w="1701" w:type="dxa"/>
          </w:tcPr>
          <w:p w14:paraId="201254E2" w14:textId="77777777" w:rsidR="00946BC3" w:rsidRPr="00C73EED" w:rsidRDefault="00946BC3" w:rsidP="00C73EED">
            <w:pPr>
              <w:spacing w:after="240" w:line="276" w:lineRule="auto"/>
              <w:rPr>
                <w:rFonts w:ascii="Arial" w:hAnsi="Arial" w:cs="Arial"/>
                <w:sz w:val="22"/>
                <w:szCs w:val="22"/>
              </w:rPr>
            </w:pPr>
            <w:r w:rsidRPr="00C73EED">
              <w:rPr>
                <w:rFonts w:ascii="Arial" w:hAnsi="Arial" w:cs="Arial"/>
                <w:sz w:val="22"/>
                <w:szCs w:val="22"/>
              </w:rPr>
              <w:t>Green</w:t>
            </w:r>
          </w:p>
        </w:tc>
        <w:tc>
          <w:tcPr>
            <w:tcW w:w="1701" w:type="dxa"/>
          </w:tcPr>
          <w:p w14:paraId="7A4F2AC7" w14:textId="77777777" w:rsidR="00946BC3" w:rsidRPr="00C73EED" w:rsidRDefault="00946BC3" w:rsidP="00C73EED">
            <w:pPr>
              <w:spacing w:after="240" w:line="276" w:lineRule="auto"/>
              <w:rPr>
                <w:rFonts w:ascii="Arial" w:hAnsi="Arial" w:cs="Arial"/>
                <w:sz w:val="22"/>
                <w:szCs w:val="22"/>
              </w:rPr>
            </w:pPr>
            <w:r w:rsidRPr="00C73EED">
              <w:rPr>
                <w:rFonts w:ascii="Arial" w:hAnsi="Arial" w:cs="Arial"/>
                <w:sz w:val="22"/>
                <w:szCs w:val="22"/>
              </w:rPr>
              <w:t>Amber</w:t>
            </w:r>
          </w:p>
        </w:tc>
        <w:tc>
          <w:tcPr>
            <w:tcW w:w="1355" w:type="dxa"/>
          </w:tcPr>
          <w:p w14:paraId="4A291BD7" w14:textId="77777777" w:rsidR="00946BC3" w:rsidRPr="00C73EED" w:rsidRDefault="00946BC3" w:rsidP="00C73EED">
            <w:pPr>
              <w:spacing w:after="240" w:line="276" w:lineRule="auto"/>
              <w:rPr>
                <w:rFonts w:ascii="Arial" w:hAnsi="Arial" w:cs="Arial"/>
                <w:sz w:val="22"/>
                <w:szCs w:val="22"/>
              </w:rPr>
            </w:pPr>
            <w:r w:rsidRPr="00C73EED">
              <w:rPr>
                <w:rFonts w:ascii="Arial" w:hAnsi="Arial" w:cs="Arial"/>
                <w:sz w:val="22"/>
                <w:szCs w:val="22"/>
              </w:rPr>
              <w:t>Red</w:t>
            </w:r>
          </w:p>
        </w:tc>
      </w:tr>
      <w:tr w:rsidR="00946BC3" w:rsidRPr="00C73EED" w14:paraId="46C6B318" w14:textId="77777777" w:rsidTr="00946BC3">
        <w:tc>
          <w:tcPr>
            <w:tcW w:w="1980" w:type="dxa"/>
          </w:tcPr>
          <w:p w14:paraId="60EFD0BE" w14:textId="77777777" w:rsidR="00946BC3" w:rsidRPr="00C73EED" w:rsidRDefault="00423509" w:rsidP="00C73EED">
            <w:pPr>
              <w:spacing w:after="240" w:line="276" w:lineRule="auto"/>
              <w:rPr>
                <w:rFonts w:ascii="Arial" w:hAnsi="Arial" w:cs="Arial"/>
                <w:sz w:val="22"/>
                <w:szCs w:val="22"/>
              </w:rPr>
            </w:pPr>
            <w:r w:rsidRPr="00C73EED">
              <w:rPr>
                <w:rFonts w:ascii="Arial" w:hAnsi="Arial" w:cs="Arial"/>
                <w:sz w:val="22"/>
                <w:szCs w:val="22"/>
              </w:rPr>
              <w:t>D</w:t>
            </w:r>
            <w:r w:rsidR="00946BC3" w:rsidRPr="00C73EED">
              <w:rPr>
                <w:rFonts w:ascii="Arial" w:hAnsi="Arial" w:cs="Arial"/>
                <w:sz w:val="22"/>
                <w:szCs w:val="22"/>
              </w:rPr>
              <w:t>eliverables</w:t>
            </w:r>
          </w:p>
        </w:tc>
        <w:tc>
          <w:tcPr>
            <w:tcW w:w="1559" w:type="dxa"/>
          </w:tcPr>
          <w:p w14:paraId="6B27F7D7" w14:textId="77777777" w:rsidR="00946BC3" w:rsidRPr="00C73EED" w:rsidRDefault="00BB534E" w:rsidP="00C73EED">
            <w:pPr>
              <w:spacing w:after="240" w:line="276" w:lineRule="auto"/>
              <w:rPr>
                <w:rFonts w:ascii="Arial" w:hAnsi="Arial" w:cs="Arial"/>
                <w:sz w:val="22"/>
                <w:szCs w:val="22"/>
              </w:rPr>
            </w:pPr>
            <w:r w:rsidRPr="00C73EED">
              <w:rPr>
                <w:rFonts w:ascii="Arial" w:hAnsi="Arial" w:cs="Arial"/>
                <w:sz w:val="22"/>
                <w:szCs w:val="22"/>
              </w:rPr>
              <w:t>50</w:t>
            </w:r>
          </w:p>
        </w:tc>
        <w:tc>
          <w:tcPr>
            <w:tcW w:w="1701" w:type="dxa"/>
          </w:tcPr>
          <w:p w14:paraId="775BE5BE" w14:textId="77777777" w:rsidR="00946BC3" w:rsidRPr="00C73EED" w:rsidRDefault="00246644" w:rsidP="00C73EED">
            <w:pPr>
              <w:spacing w:after="240" w:line="276" w:lineRule="auto"/>
              <w:rPr>
                <w:rFonts w:ascii="Arial" w:hAnsi="Arial" w:cs="Arial"/>
                <w:sz w:val="22"/>
                <w:szCs w:val="22"/>
              </w:rPr>
            </w:pPr>
            <w:r w:rsidRPr="00C73EED">
              <w:rPr>
                <w:rFonts w:ascii="Arial" w:hAnsi="Arial" w:cs="Arial"/>
                <w:sz w:val="22"/>
                <w:szCs w:val="22"/>
              </w:rPr>
              <w:t>48</w:t>
            </w:r>
          </w:p>
        </w:tc>
        <w:tc>
          <w:tcPr>
            <w:tcW w:w="1701" w:type="dxa"/>
          </w:tcPr>
          <w:p w14:paraId="1B89A6EE" w14:textId="77777777" w:rsidR="00946BC3" w:rsidRPr="00C73EED" w:rsidRDefault="00246644" w:rsidP="00C73EED">
            <w:pPr>
              <w:spacing w:after="240" w:line="276" w:lineRule="auto"/>
              <w:rPr>
                <w:rFonts w:ascii="Arial" w:hAnsi="Arial" w:cs="Arial"/>
                <w:sz w:val="22"/>
                <w:szCs w:val="22"/>
              </w:rPr>
            </w:pPr>
            <w:r w:rsidRPr="00C73EED">
              <w:rPr>
                <w:rFonts w:ascii="Arial" w:hAnsi="Arial" w:cs="Arial"/>
                <w:sz w:val="22"/>
                <w:szCs w:val="22"/>
              </w:rPr>
              <w:t>2</w:t>
            </w:r>
          </w:p>
        </w:tc>
        <w:tc>
          <w:tcPr>
            <w:tcW w:w="1355" w:type="dxa"/>
          </w:tcPr>
          <w:p w14:paraId="0AD5CA83" w14:textId="77777777" w:rsidR="00946BC3" w:rsidRPr="00C73EED" w:rsidRDefault="00246644" w:rsidP="00C73EED">
            <w:pPr>
              <w:spacing w:after="240" w:line="276" w:lineRule="auto"/>
              <w:rPr>
                <w:rFonts w:ascii="Arial" w:hAnsi="Arial" w:cs="Arial"/>
                <w:sz w:val="22"/>
                <w:szCs w:val="22"/>
              </w:rPr>
            </w:pPr>
            <w:r w:rsidRPr="00C73EED">
              <w:rPr>
                <w:rFonts w:ascii="Arial" w:hAnsi="Arial" w:cs="Arial"/>
                <w:sz w:val="22"/>
                <w:szCs w:val="22"/>
              </w:rPr>
              <w:t>0</w:t>
            </w:r>
          </w:p>
        </w:tc>
      </w:tr>
    </w:tbl>
    <w:p w14:paraId="125EF57C" w14:textId="77777777" w:rsidR="00C73EED" w:rsidRDefault="00C73EED" w:rsidP="00C73EED">
      <w:pPr>
        <w:spacing w:after="240" w:line="276" w:lineRule="auto"/>
        <w:rPr>
          <w:rFonts w:ascii="Arial" w:hAnsi="Arial" w:cs="Arial"/>
          <w:sz w:val="22"/>
          <w:szCs w:val="22"/>
        </w:rPr>
      </w:pPr>
    </w:p>
    <w:p w14:paraId="2A75464F" w14:textId="77777777" w:rsidR="00C73EED" w:rsidRDefault="002526B8" w:rsidP="00C73EED">
      <w:pPr>
        <w:pStyle w:val="ListParagraph"/>
        <w:numPr>
          <w:ilvl w:val="1"/>
          <w:numId w:val="1"/>
        </w:numPr>
        <w:spacing w:after="240" w:line="276" w:lineRule="auto"/>
        <w:rPr>
          <w:rFonts w:ascii="Arial" w:hAnsi="Arial" w:cs="Arial"/>
          <w:sz w:val="22"/>
          <w:szCs w:val="22"/>
        </w:rPr>
      </w:pPr>
      <w:r w:rsidRPr="00C73EED">
        <w:rPr>
          <w:rFonts w:ascii="Arial" w:hAnsi="Arial" w:cs="Arial"/>
          <w:sz w:val="22"/>
          <w:szCs w:val="22"/>
        </w:rPr>
        <w:t>Overall</w:t>
      </w:r>
      <w:r w:rsidR="00246644" w:rsidRPr="00C73EED">
        <w:rPr>
          <w:rFonts w:ascii="Arial" w:hAnsi="Arial" w:cs="Arial"/>
          <w:sz w:val="22"/>
          <w:szCs w:val="22"/>
        </w:rPr>
        <w:t xml:space="preserve">, 48 of the 50 targets were fully achieved by the end of </w:t>
      </w:r>
      <w:r w:rsidR="00C73EED" w:rsidRPr="00C73EED">
        <w:rPr>
          <w:rFonts w:ascii="Arial" w:hAnsi="Arial" w:cs="Arial"/>
          <w:sz w:val="22"/>
          <w:szCs w:val="22"/>
        </w:rPr>
        <w:t xml:space="preserve">the financial year. </w:t>
      </w:r>
      <w:r w:rsidR="00246644" w:rsidRPr="00C73EED">
        <w:rPr>
          <w:rFonts w:ascii="Arial" w:hAnsi="Arial" w:cs="Arial"/>
          <w:sz w:val="22"/>
          <w:szCs w:val="22"/>
        </w:rPr>
        <w:t>The two targets partly achieved re</w:t>
      </w:r>
      <w:r w:rsidR="00DB5BD4" w:rsidRPr="00C73EED">
        <w:rPr>
          <w:rFonts w:ascii="Arial" w:hAnsi="Arial" w:cs="Arial"/>
          <w:sz w:val="22"/>
          <w:szCs w:val="22"/>
        </w:rPr>
        <w:t xml:space="preserve">lated to the recruitment of </w:t>
      </w:r>
      <w:r w:rsidR="00246644" w:rsidRPr="00C73EED">
        <w:rPr>
          <w:rFonts w:ascii="Arial" w:hAnsi="Arial" w:cs="Arial"/>
          <w:sz w:val="22"/>
          <w:szCs w:val="22"/>
        </w:rPr>
        <w:t>graduates and the work we commissioned from CIPFA in relation to supp</w:t>
      </w:r>
      <w:r w:rsidR="00C73EED" w:rsidRPr="00C73EED">
        <w:rPr>
          <w:rFonts w:ascii="Arial" w:hAnsi="Arial" w:cs="Arial"/>
          <w:sz w:val="22"/>
          <w:szCs w:val="22"/>
        </w:rPr>
        <w:t>orting councils around fraud.</w:t>
      </w:r>
    </w:p>
    <w:p w14:paraId="59415C84" w14:textId="77777777" w:rsidR="00C73EED" w:rsidRDefault="00246644" w:rsidP="00C73EED">
      <w:pPr>
        <w:pStyle w:val="ListParagraph"/>
        <w:numPr>
          <w:ilvl w:val="1"/>
          <w:numId w:val="1"/>
        </w:numPr>
        <w:spacing w:after="240" w:line="276" w:lineRule="auto"/>
        <w:rPr>
          <w:rFonts w:ascii="Arial" w:hAnsi="Arial" w:cs="Arial"/>
          <w:sz w:val="22"/>
          <w:szCs w:val="22"/>
        </w:rPr>
      </w:pPr>
      <w:r w:rsidRPr="00C73EED">
        <w:rPr>
          <w:rFonts w:ascii="Arial" w:hAnsi="Arial" w:cs="Arial"/>
          <w:sz w:val="22"/>
          <w:szCs w:val="22"/>
        </w:rPr>
        <w:t xml:space="preserve">Whilst we </w:t>
      </w:r>
      <w:r w:rsidR="002526B8" w:rsidRPr="00C73EED">
        <w:rPr>
          <w:rFonts w:ascii="Arial" w:hAnsi="Arial" w:cs="Arial"/>
          <w:sz w:val="22"/>
          <w:szCs w:val="22"/>
        </w:rPr>
        <w:t>recruit</w:t>
      </w:r>
      <w:r w:rsidRPr="00C73EED">
        <w:rPr>
          <w:rFonts w:ascii="Arial" w:hAnsi="Arial" w:cs="Arial"/>
          <w:sz w:val="22"/>
          <w:szCs w:val="22"/>
        </w:rPr>
        <w:t>ed over 100 graduates</w:t>
      </w:r>
      <w:r w:rsidR="002526B8" w:rsidRPr="00C73EED">
        <w:rPr>
          <w:rFonts w:ascii="Arial" w:hAnsi="Arial" w:cs="Arial"/>
          <w:sz w:val="22"/>
          <w:szCs w:val="22"/>
        </w:rPr>
        <w:t xml:space="preserve">, unfortunately there was a slightly higher number of withdrawals </w:t>
      </w:r>
      <w:r w:rsidR="009A1CE2" w:rsidRPr="00C73EED">
        <w:rPr>
          <w:rFonts w:ascii="Arial" w:hAnsi="Arial" w:cs="Arial"/>
          <w:sz w:val="22"/>
          <w:szCs w:val="22"/>
        </w:rPr>
        <w:t xml:space="preserve">this year </w:t>
      </w:r>
      <w:r w:rsidR="002526B8" w:rsidRPr="00C73EED">
        <w:rPr>
          <w:rFonts w:ascii="Arial" w:hAnsi="Arial" w:cs="Arial"/>
          <w:sz w:val="22"/>
          <w:szCs w:val="22"/>
        </w:rPr>
        <w:t>between the time graduates being recruited and placed with councils and them actually taking up placements.   The number of graduates placed with councils from the current cohort stands at 94.</w:t>
      </w:r>
    </w:p>
    <w:p w14:paraId="28D264F9" w14:textId="77777777" w:rsidR="00C73EED" w:rsidRDefault="00246644" w:rsidP="00C73EED">
      <w:pPr>
        <w:pStyle w:val="ListParagraph"/>
        <w:numPr>
          <w:ilvl w:val="1"/>
          <w:numId w:val="1"/>
        </w:numPr>
        <w:spacing w:after="240" w:line="276" w:lineRule="auto"/>
        <w:rPr>
          <w:rFonts w:ascii="Arial" w:hAnsi="Arial" w:cs="Arial"/>
          <w:sz w:val="22"/>
          <w:szCs w:val="22"/>
        </w:rPr>
      </w:pPr>
      <w:r w:rsidRPr="00C73EED">
        <w:rPr>
          <w:rFonts w:ascii="Arial" w:hAnsi="Arial" w:cs="Arial"/>
          <w:sz w:val="22"/>
          <w:szCs w:val="22"/>
        </w:rPr>
        <w:t>In relation to fraud</w:t>
      </w:r>
      <w:r w:rsidR="00C73EED" w:rsidRPr="00C73EED">
        <w:rPr>
          <w:rFonts w:ascii="Arial" w:hAnsi="Arial" w:cs="Arial"/>
          <w:sz w:val="22"/>
          <w:szCs w:val="22"/>
        </w:rPr>
        <w:t>, only two of the four</w:t>
      </w:r>
      <w:r w:rsidR="00482D34" w:rsidRPr="00C73EED">
        <w:rPr>
          <w:rFonts w:ascii="Arial" w:hAnsi="Arial" w:cs="Arial"/>
          <w:sz w:val="22"/>
          <w:szCs w:val="22"/>
        </w:rPr>
        <w:t xml:space="preserve"> regional workshops we had commissioned CIPFA to deliver were held by the end of the year.  We are in discussion with CIPFA about the additional 2 workshops being held after the general election.</w:t>
      </w:r>
    </w:p>
    <w:p w14:paraId="59CE6762" w14:textId="77777777" w:rsidR="00C73EED" w:rsidRDefault="00DB5BD4" w:rsidP="00C73EED">
      <w:pPr>
        <w:pStyle w:val="ListParagraph"/>
        <w:numPr>
          <w:ilvl w:val="1"/>
          <w:numId w:val="1"/>
        </w:numPr>
        <w:spacing w:after="240" w:line="276" w:lineRule="auto"/>
        <w:rPr>
          <w:rFonts w:ascii="Arial" w:hAnsi="Arial" w:cs="Arial"/>
          <w:sz w:val="22"/>
          <w:szCs w:val="22"/>
        </w:rPr>
      </w:pPr>
      <w:r w:rsidRPr="00C73EED">
        <w:rPr>
          <w:rFonts w:ascii="Arial" w:hAnsi="Arial" w:cs="Arial"/>
          <w:sz w:val="22"/>
          <w:szCs w:val="22"/>
        </w:rPr>
        <w:t xml:space="preserve">Key highlights from the last year </w:t>
      </w:r>
      <w:r w:rsidR="00D85219" w:rsidRPr="00C73EED">
        <w:rPr>
          <w:rFonts w:ascii="Arial" w:hAnsi="Arial" w:cs="Arial"/>
          <w:sz w:val="22"/>
          <w:szCs w:val="22"/>
        </w:rPr>
        <w:t>include</w:t>
      </w:r>
    </w:p>
    <w:p w14:paraId="20B74914" w14:textId="77777777" w:rsidR="00C73EED" w:rsidRDefault="00482D34"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119</w:t>
      </w:r>
      <w:r w:rsidR="009A1CE2" w:rsidRPr="00C73EED">
        <w:rPr>
          <w:rFonts w:ascii="Arial" w:hAnsi="Arial" w:cs="Arial"/>
          <w:sz w:val="22"/>
          <w:szCs w:val="22"/>
        </w:rPr>
        <w:t xml:space="preserve"> peer challenges</w:t>
      </w:r>
      <w:r w:rsidRPr="00C73EED">
        <w:rPr>
          <w:rFonts w:ascii="Arial" w:hAnsi="Arial" w:cs="Arial"/>
          <w:sz w:val="22"/>
          <w:szCs w:val="22"/>
        </w:rPr>
        <w:t>.</w:t>
      </w:r>
    </w:p>
    <w:p w14:paraId="75B3D7C8" w14:textId="3DDC5D7F" w:rsidR="00C73EED" w:rsidRDefault="00DB5BD4"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T</w:t>
      </w:r>
      <w:r w:rsidR="00D85219" w:rsidRPr="00C73EED">
        <w:rPr>
          <w:rFonts w:ascii="Arial" w:hAnsi="Arial" w:cs="Arial"/>
          <w:sz w:val="22"/>
          <w:szCs w:val="22"/>
        </w:rPr>
        <w:t xml:space="preserve">ailored support through the use of member </w:t>
      </w:r>
      <w:r w:rsidR="00BB534E" w:rsidRPr="00C73EED">
        <w:rPr>
          <w:rFonts w:ascii="Arial" w:hAnsi="Arial" w:cs="Arial"/>
          <w:sz w:val="22"/>
          <w:szCs w:val="22"/>
        </w:rPr>
        <w:t xml:space="preserve">or officer peers </w:t>
      </w:r>
      <w:r w:rsidRPr="00C73EED">
        <w:rPr>
          <w:rFonts w:ascii="Arial" w:hAnsi="Arial" w:cs="Arial"/>
          <w:sz w:val="22"/>
          <w:szCs w:val="22"/>
        </w:rPr>
        <w:t xml:space="preserve">provided </w:t>
      </w:r>
      <w:r w:rsidR="00BB534E" w:rsidRPr="00C73EED">
        <w:rPr>
          <w:rFonts w:ascii="Arial" w:hAnsi="Arial" w:cs="Arial"/>
          <w:sz w:val="22"/>
          <w:szCs w:val="22"/>
        </w:rPr>
        <w:t xml:space="preserve">for a </w:t>
      </w:r>
      <w:r w:rsidR="00482D34" w:rsidRPr="00C73EED">
        <w:rPr>
          <w:rFonts w:ascii="Arial" w:hAnsi="Arial" w:cs="Arial"/>
          <w:sz w:val="22"/>
          <w:szCs w:val="22"/>
        </w:rPr>
        <w:t>total of 82 councils</w:t>
      </w:r>
      <w:r w:rsidR="00C73EED">
        <w:rPr>
          <w:rFonts w:ascii="Arial" w:hAnsi="Arial" w:cs="Arial"/>
          <w:sz w:val="22"/>
          <w:szCs w:val="22"/>
        </w:rPr>
        <w:t>.</w:t>
      </w:r>
    </w:p>
    <w:p w14:paraId="55DD92EB" w14:textId="1884E89C" w:rsidR="00C73EED" w:rsidRDefault="00D85219"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Continued to provide intensive support to councils with the most severe challenges</w:t>
      </w:r>
      <w:r w:rsidR="00C73EED">
        <w:rPr>
          <w:rFonts w:ascii="Arial" w:hAnsi="Arial" w:cs="Arial"/>
          <w:sz w:val="22"/>
          <w:szCs w:val="22"/>
        </w:rPr>
        <w:t>.</w:t>
      </w:r>
    </w:p>
    <w:p w14:paraId="74D94304" w14:textId="30B7DC23" w:rsidR="00C73EED" w:rsidRDefault="00D85219"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lastRenderedPageBreak/>
        <w:t xml:space="preserve">Helped councils save an estimated </w:t>
      </w:r>
      <w:r w:rsidR="00BB534E" w:rsidRPr="00C73EED">
        <w:rPr>
          <w:rFonts w:ascii="Arial" w:hAnsi="Arial" w:cs="Arial"/>
          <w:sz w:val="22"/>
          <w:szCs w:val="22"/>
        </w:rPr>
        <w:t>£</w:t>
      </w:r>
      <w:r w:rsidR="00482D34" w:rsidRPr="00C73EED">
        <w:rPr>
          <w:rFonts w:ascii="Arial" w:hAnsi="Arial" w:cs="Arial"/>
          <w:sz w:val="22"/>
          <w:szCs w:val="22"/>
        </w:rPr>
        <w:t>13.2</w:t>
      </w:r>
      <w:r w:rsidR="00C73EED">
        <w:rPr>
          <w:rFonts w:ascii="Arial" w:hAnsi="Arial" w:cs="Arial"/>
          <w:sz w:val="22"/>
          <w:szCs w:val="22"/>
        </w:rPr>
        <w:t xml:space="preserve"> </w:t>
      </w:r>
      <w:r w:rsidR="00BB534E" w:rsidRPr="00C73EED">
        <w:rPr>
          <w:rFonts w:ascii="Arial" w:hAnsi="Arial" w:cs="Arial"/>
          <w:sz w:val="22"/>
          <w:szCs w:val="22"/>
        </w:rPr>
        <w:t>m</w:t>
      </w:r>
      <w:r w:rsidR="00C73EED">
        <w:rPr>
          <w:rFonts w:ascii="Arial" w:hAnsi="Arial" w:cs="Arial"/>
          <w:sz w:val="22"/>
          <w:szCs w:val="22"/>
        </w:rPr>
        <w:t>illion</w:t>
      </w:r>
      <w:r w:rsidRPr="00C73EED">
        <w:rPr>
          <w:rFonts w:ascii="Arial" w:hAnsi="Arial" w:cs="Arial"/>
          <w:sz w:val="22"/>
          <w:szCs w:val="22"/>
        </w:rPr>
        <w:t xml:space="preserve"> through the use of collaborative procurem</w:t>
      </w:r>
      <w:r w:rsidR="004945A5" w:rsidRPr="00C73EED">
        <w:rPr>
          <w:rFonts w:ascii="Arial" w:hAnsi="Arial" w:cs="Arial"/>
          <w:sz w:val="22"/>
          <w:szCs w:val="22"/>
        </w:rPr>
        <w:t>ent frameworks</w:t>
      </w:r>
      <w:r w:rsidRPr="00C73EED">
        <w:rPr>
          <w:rFonts w:ascii="Arial" w:hAnsi="Arial" w:cs="Arial"/>
          <w:sz w:val="22"/>
          <w:szCs w:val="22"/>
        </w:rPr>
        <w:t xml:space="preserve"> </w:t>
      </w:r>
      <w:r w:rsidR="009A1CE2" w:rsidRPr="00C73EED">
        <w:rPr>
          <w:rFonts w:ascii="Arial" w:hAnsi="Arial" w:cs="Arial"/>
          <w:sz w:val="22"/>
          <w:szCs w:val="22"/>
        </w:rPr>
        <w:t xml:space="preserve">and </w:t>
      </w:r>
      <w:r w:rsidRPr="00C73EED">
        <w:rPr>
          <w:rFonts w:ascii="Arial" w:hAnsi="Arial" w:cs="Arial"/>
          <w:sz w:val="22"/>
          <w:szCs w:val="22"/>
        </w:rPr>
        <w:t xml:space="preserve">our deployment of </w:t>
      </w:r>
      <w:r w:rsidR="004945A5" w:rsidRPr="00C73EED">
        <w:rPr>
          <w:rFonts w:ascii="Arial" w:hAnsi="Arial" w:cs="Arial"/>
          <w:sz w:val="22"/>
          <w:szCs w:val="22"/>
        </w:rPr>
        <w:t>com</w:t>
      </w:r>
      <w:r w:rsidRPr="00C73EED">
        <w:rPr>
          <w:rFonts w:ascii="Arial" w:hAnsi="Arial" w:cs="Arial"/>
          <w:sz w:val="22"/>
          <w:szCs w:val="22"/>
        </w:rPr>
        <w:t>mercial expert</w:t>
      </w:r>
      <w:r w:rsidR="00C73EED">
        <w:rPr>
          <w:rFonts w:ascii="Arial" w:hAnsi="Arial" w:cs="Arial"/>
          <w:sz w:val="22"/>
          <w:szCs w:val="22"/>
        </w:rPr>
        <w:t>s.</w:t>
      </w:r>
    </w:p>
    <w:p w14:paraId="5F89C3FB" w14:textId="77777777" w:rsidR="00C73EED" w:rsidRDefault="00527141"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Helped councils save in excess of £26</w:t>
      </w:r>
      <w:r w:rsidR="00C73EED">
        <w:rPr>
          <w:rFonts w:ascii="Arial" w:hAnsi="Arial" w:cs="Arial"/>
          <w:sz w:val="22"/>
          <w:szCs w:val="22"/>
        </w:rPr>
        <w:t xml:space="preserve"> </w:t>
      </w:r>
      <w:r w:rsidRPr="00C73EED">
        <w:rPr>
          <w:rFonts w:ascii="Arial" w:hAnsi="Arial" w:cs="Arial"/>
          <w:sz w:val="22"/>
          <w:szCs w:val="22"/>
        </w:rPr>
        <w:t>m</w:t>
      </w:r>
      <w:r w:rsidR="00C73EED">
        <w:rPr>
          <w:rFonts w:ascii="Arial" w:hAnsi="Arial" w:cs="Arial"/>
          <w:sz w:val="22"/>
          <w:szCs w:val="22"/>
        </w:rPr>
        <w:t>illion</w:t>
      </w:r>
      <w:r w:rsidRPr="00C73EED">
        <w:rPr>
          <w:rFonts w:ascii="Arial" w:hAnsi="Arial" w:cs="Arial"/>
          <w:sz w:val="22"/>
          <w:szCs w:val="22"/>
        </w:rPr>
        <w:t xml:space="preserve"> through the deployment of our productivity experts</w:t>
      </w:r>
      <w:r w:rsidR="00C73EED">
        <w:rPr>
          <w:rFonts w:ascii="Arial" w:hAnsi="Arial" w:cs="Arial"/>
          <w:sz w:val="22"/>
          <w:szCs w:val="22"/>
        </w:rPr>
        <w:t>.</w:t>
      </w:r>
    </w:p>
    <w:p w14:paraId="3187DFAA" w14:textId="77777777" w:rsidR="00C73EED" w:rsidRDefault="00527141"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Created a new database for capturing and sharing innovative practice containing 1,000 examples</w:t>
      </w:r>
      <w:r w:rsidR="00C73EED">
        <w:rPr>
          <w:rFonts w:ascii="Arial" w:hAnsi="Arial" w:cs="Arial"/>
          <w:sz w:val="22"/>
          <w:szCs w:val="22"/>
        </w:rPr>
        <w:t>.</w:t>
      </w:r>
    </w:p>
    <w:p w14:paraId="3D97F31F" w14:textId="77777777" w:rsidR="00C73EED" w:rsidRDefault="00527141"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Developed over 700 council</w:t>
      </w:r>
      <w:r w:rsidR="00DB5BD4" w:rsidRPr="00C73EED">
        <w:rPr>
          <w:rFonts w:ascii="Arial" w:hAnsi="Arial" w:cs="Arial"/>
          <w:sz w:val="22"/>
          <w:szCs w:val="22"/>
        </w:rPr>
        <w:t>lor</w:t>
      </w:r>
      <w:r w:rsidRPr="00C73EED">
        <w:rPr>
          <w:rFonts w:ascii="Arial" w:hAnsi="Arial" w:cs="Arial"/>
          <w:sz w:val="22"/>
          <w:szCs w:val="22"/>
        </w:rPr>
        <w:t>s through various training programmes.</w:t>
      </w:r>
    </w:p>
    <w:p w14:paraId="301B4433" w14:textId="77777777" w:rsidR="00C73EED" w:rsidRDefault="00304CFD"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 xml:space="preserve">Supported </w:t>
      </w:r>
      <w:r w:rsidR="00527141" w:rsidRPr="00C73EED">
        <w:rPr>
          <w:rFonts w:ascii="Arial" w:hAnsi="Arial" w:cs="Arial"/>
          <w:sz w:val="22"/>
          <w:szCs w:val="22"/>
        </w:rPr>
        <w:t>11</w:t>
      </w:r>
      <w:r w:rsidR="00BB534E" w:rsidRPr="00C73EED">
        <w:rPr>
          <w:rFonts w:ascii="Arial" w:hAnsi="Arial" w:cs="Arial"/>
          <w:sz w:val="22"/>
          <w:szCs w:val="22"/>
        </w:rPr>
        <w:t>2</w:t>
      </w:r>
      <w:r w:rsidRPr="00C73EED">
        <w:rPr>
          <w:rFonts w:ascii="Arial" w:hAnsi="Arial" w:cs="Arial"/>
          <w:sz w:val="22"/>
          <w:szCs w:val="22"/>
        </w:rPr>
        <w:t xml:space="preserve"> councils on a range of workforce issues.</w:t>
      </w:r>
    </w:p>
    <w:p w14:paraId="4D8F4AF6" w14:textId="3477D023" w:rsidR="000B09B6" w:rsidRPr="00C73EED" w:rsidRDefault="00527141"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Created an on-line resource to support councils to strengthen community cohesion.</w:t>
      </w:r>
    </w:p>
    <w:p w14:paraId="741B60F8" w14:textId="3C4C05BD" w:rsidR="00C73EED" w:rsidRPr="00C73EED" w:rsidRDefault="00DB5BD4" w:rsidP="00C73EED">
      <w:pPr>
        <w:pStyle w:val="ListParagraph"/>
        <w:numPr>
          <w:ilvl w:val="1"/>
          <w:numId w:val="1"/>
        </w:numPr>
        <w:spacing w:after="240" w:line="276" w:lineRule="auto"/>
        <w:rPr>
          <w:rFonts w:ascii="Arial" w:hAnsi="Arial" w:cs="Arial"/>
          <w:sz w:val="22"/>
          <w:szCs w:val="22"/>
        </w:rPr>
      </w:pPr>
      <w:r w:rsidRPr="00C73EED">
        <w:rPr>
          <w:rFonts w:ascii="Arial" w:hAnsi="Arial" w:cs="Arial"/>
          <w:sz w:val="22"/>
          <w:szCs w:val="22"/>
        </w:rPr>
        <w:t>In terms of key outcomes as a result of the work:</w:t>
      </w:r>
    </w:p>
    <w:p w14:paraId="3449EAB1" w14:textId="77777777" w:rsidR="00C73EED" w:rsidRDefault="00DB5BD4"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 xml:space="preserve">No authorities have entered </w:t>
      </w:r>
      <w:r w:rsidR="00890F55" w:rsidRPr="00C73EED">
        <w:rPr>
          <w:rFonts w:ascii="Arial" w:hAnsi="Arial" w:cs="Arial"/>
          <w:sz w:val="22"/>
          <w:szCs w:val="22"/>
        </w:rPr>
        <w:t xml:space="preserve">formal </w:t>
      </w:r>
      <w:r w:rsidRPr="00C73EED">
        <w:rPr>
          <w:rFonts w:ascii="Arial" w:hAnsi="Arial" w:cs="Arial"/>
          <w:sz w:val="22"/>
          <w:szCs w:val="22"/>
        </w:rPr>
        <w:t xml:space="preserve">DCLG intervention </w:t>
      </w:r>
      <w:r w:rsidR="00890F55" w:rsidRPr="00C73EED">
        <w:rPr>
          <w:rFonts w:ascii="Arial" w:hAnsi="Arial" w:cs="Arial"/>
          <w:sz w:val="22"/>
          <w:szCs w:val="22"/>
        </w:rPr>
        <w:t xml:space="preserve">in the year </w:t>
      </w:r>
      <w:r w:rsidRPr="00C73EED">
        <w:rPr>
          <w:rFonts w:ascii="Arial" w:hAnsi="Arial" w:cs="Arial"/>
          <w:sz w:val="22"/>
          <w:szCs w:val="22"/>
        </w:rPr>
        <w:t>and good progress being made in Rotherham and Tower Hamlets  to come out of interventio</w:t>
      </w:r>
      <w:r w:rsidR="00C73EED">
        <w:rPr>
          <w:rFonts w:ascii="Arial" w:hAnsi="Arial" w:cs="Arial"/>
          <w:sz w:val="22"/>
          <w:szCs w:val="22"/>
        </w:rPr>
        <w:t>n</w:t>
      </w:r>
    </w:p>
    <w:p w14:paraId="3A7EEAF5" w14:textId="77777777" w:rsidR="00C73EED" w:rsidRDefault="00DB5BD4"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Two-thirds of a basket of indicators commonly used by councils have improved</w:t>
      </w:r>
    </w:p>
    <w:p w14:paraId="7874B357" w14:textId="77777777" w:rsidR="00C73EED" w:rsidRDefault="00DB5BD4" w:rsidP="00C73EED">
      <w:pPr>
        <w:pStyle w:val="ListParagraph"/>
        <w:numPr>
          <w:ilvl w:val="2"/>
          <w:numId w:val="1"/>
        </w:numPr>
        <w:spacing w:after="240" w:line="276" w:lineRule="auto"/>
        <w:rPr>
          <w:rFonts w:ascii="Arial" w:hAnsi="Arial" w:cs="Arial"/>
          <w:sz w:val="22"/>
          <w:szCs w:val="22"/>
        </w:rPr>
      </w:pPr>
      <w:r w:rsidRPr="00C73EED">
        <w:rPr>
          <w:rFonts w:ascii="Arial" w:hAnsi="Arial" w:cs="Arial"/>
          <w:sz w:val="22"/>
          <w:szCs w:val="22"/>
        </w:rPr>
        <w:t>Resident satisfaction w</w:t>
      </w:r>
      <w:r w:rsidR="00C73EED">
        <w:rPr>
          <w:rFonts w:ascii="Arial" w:hAnsi="Arial" w:cs="Arial"/>
          <w:sz w:val="22"/>
          <w:szCs w:val="22"/>
        </w:rPr>
        <w:t>ith councils remains high at 65 per cent</w:t>
      </w:r>
    </w:p>
    <w:p w14:paraId="3BCFAE10" w14:textId="1A53B01E" w:rsidR="00F42174" w:rsidRPr="00C73EED" w:rsidRDefault="00C73EED" w:rsidP="00C73EED">
      <w:pPr>
        <w:pStyle w:val="ListParagraph"/>
        <w:numPr>
          <w:ilvl w:val="2"/>
          <w:numId w:val="1"/>
        </w:numPr>
        <w:spacing w:after="240" w:line="276" w:lineRule="auto"/>
        <w:rPr>
          <w:rFonts w:ascii="Arial" w:hAnsi="Arial" w:cs="Arial"/>
          <w:sz w:val="22"/>
          <w:szCs w:val="22"/>
        </w:rPr>
      </w:pPr>
      <w:r>
        <w:rPr>
          <w:rFonts w:ascii="Arial" w:hAnsi="Arial" w:cs="Arial"/>
          <w:sz w:val="22"/>
          <w:szCs w:val="22"/>
        </w:rPr>
        <w:t>Almost 90 per cent</w:t>
      </w:r>
      <w:r w:rsidR="00DB5BD4" w:rsidRPr="00C73EED">
        <w:rPr>
          <w:rFonts w:ascii="Arial" w:hAnsi="Arial" w:cs="Arial"/>
          <w:sz w:val="22"/>
          <w:szCs w:val="22"/>
        </w:rPr>
        <w:t xml:space="preserve"> of council </w:t>
      </w:r>
      <w:r w:rsidR="00F42174" w:rsidRPr="00C73EED">
        <w:rPr>
          <w:rFonts w:ascii="Arial" w:hAnsi="Arial" w:cs="Arial"/>
          <w:sz w:val="22"/>
          <w:szCs w:val="22"/>
        </w:rPr>
        <w:t>leaders and chief executives say</w:t>
      </w:r>
      <w:r w:rsidR="00DB5BD4" w:rsidRPr="00C73EED">
        <w:rPr>
          <w:rFonts w:ascii="Arial" w:hAnsi="Arial" w:cs="Arial"/>
          <w:sz w:val="22"/>
          <w:szCs w:val="22"/>
        </w:rPr>
        <w:t xml:space="preserve"> the LGA support has had a pos</w:t>
      </w:r>
      <w:r>
        <w:rPr>
          <w:rFonts w:ascii="Arial" w:hAnsi="Arial" w:cs="Arial"/>
          <w:sz w:val="22"/>
          <w:szCs w:val="22"/>
        </w:rPr>
        <w:t>itive impact on their authority.</w:t>
      </w:r>
    </w:p>
    <w:p w14:paraId="4B286086" w14:textId="768C4A93" w:rsidR="00304CFD" w:rsidRPr="00C73EED" w:rsidRDefault="00CC416B" w:rsidP="00C73EED">
      <w:pPr>
        <w:pStyle w:val="ListParagraph"/>
        <w:numPr>
          <w:ilvl w:val="1"/>
          <w:numId w:val="1"/>
        </w:numPr>
        <w:spacing w:after="240" w:line="276" w:lineRule="auto"/>
        <w:rPr>
          <w:rFonts w:ascii="Arial" w:hAnsi="Arial" w:cs="Arial"/>
          <w:sz w:val="22"/>
          <w:szCs w:val="22"/>
        </w:rPr>
      </w:pPr>
      <w:r w:rsidRPr="00C73EED">
        <w:rPr>
          <w:rFonts w:ascii="Arial" w:hAnsi="Arial" w:cs="Arial"/>
          <w:sz w:val="22"/>
          <w:szCs w:val="22"/>
        </w:rPr>
        <w:t xml:space="preserve">A comprehensive end of year report is attached as </w:t>
      </w:r>
      <w:r w:rsidRPr="00133FF4">
        <w:rPr>
          <w:rFonts w:ascii="Arial" w:hAnsi="Arial" w:cs="Arial"/>
          <w:b/>
          <w:sz w:val="22"/>
          <w:szCs w:val="22"/>
          <w:u w:val="single"/>
        </w:rPr>
        <w:t xml:space="preserve">Appendix </w:t>
      </w:r>
      <w:r w:rsidR="00CA5BBC" w:rsidRPr="00133FF4">
        <w:rPr>
          <w:rFonts w:ascii="Arial" w:hAnsi="Arial" w:cs="Arial"/>
          <w:b/>
          <w:sz w:val="22"/>
          <w:szCs w:val="22"/>
          <w:u w:val="single"/>
        </w:rPr>
        <w:t>1</w:t>
      </w:r>
      <w:r w:rsidR="00CA5BBC" w:rsidRPr="00C73EED">
        <w:rPr>
          <w:rFonts w:ascii="Arial" w:hAnsi="Arial" w:cs="Arial"/>
          <w:sz w:val="22"/>
          <w:szCs w:val="22"/>
        </w:rPr>
        <w:t>.</w:t>
      </w:r>
    </w:p>
    <w:p w14:paraId="0D7AE72D" w14:textId="4A951582" w:rsidR="00133FF4" w:rsidRDefault="00C2381A" w:rsidP="00133FF4">
      <w:pPr>
        <w:pStyle w:val="ListParagraph"/>
        <w:numPr>
          <w:ilvl w:val="0"/>
          <w:numId w:val="5"/>
        </w:numPr>
        <w:spacing w:after="240" w:line="276" w:lineRule="auto"/>
        <w:ind w:hanging="720"/>
        <w:rPr>
          <w:rFonts w:ascii="Arial" w:hAnsi="Arial" w:cs="Arial"/>
          <w:b/>
          <w:sz w:val="22"/>
          <w:szCs w:val="22"/>
        </w:rPr>
      </w:pPr>
      <w:r>
        <w:rPr>
          <w:rFonts w:ascii="Arial" w:hAnsi="Arial" w:cs="Arial"/>
          <w:b/>
          <w:sz w:val="22"/>
          <w:szCs w:val="22"/>
        </w:rPr>
        <w:t>Financial performance</w:t>
      </w:r>
    </w:p>
    <w:p w14:paraId="2ED7A044" w14:textId="21ED110E" w:rsidR="00FE4669" w:rsidRPr="00133FF4" w:rsidRDefault="00FA1A4C" w:rsidP="00133FF4">
      <w:pPr>
        <w:pStyle w:val="ListParagraph"/>
        <w:numPr>
          <w:ilvl w:val="1"/>
          <w:numId w:val="24"/>
        </w:numPr>
        <w:spacing w:after="240" w:line="276" w:lineRule="auto"/>
        <w:rPr>
          <w:rFonts w:ascii="Arial" w:hAnsi="Arial" w:cs="Arial"/>
          <w:b/>
          <w:sz w:val="22"/>
          <w:szCs w:val="22"/>
        </w:rPr>
      </w:pPr>
      <w:r w:rsidRPr="00133FF4">
        <w:rPr>
          <w:rFonts w:ascii="Arial" w:hAnsi="Arial" w:cs="Arial"/>
          <w:sz w:val="22"/>
          <w:szCs w:val="22"/>
        </w:rPr>
        <w:t>The 2016/17</w:t>
      </w:r>
      <w:r w:rsidR="00527141" w:rsidRPr="00133FF4">
        <w:rPr>
          <w:rFonts w:ascii="Arial" w:hAnsi="Arial" w:cs="Arial"/>
          <w:sz w:val="22"/>
          <w:szCs w:val="22"/>
        </w:rPr>
        <w:t xml:space="preserve"> outturn shows that of the £21.4</w:t>
      </w:r>
      <w:r w:rsidR="00C73EED" w:rsidRPr="00133FF4">
        <w:rPr>
          <w:rFonts w:ascii="Arial" w:hAnsi="Arial" w:cs="Arial"/>
          <w:sz w:val="22"/>
          <w:szCs w:val="22"/>
        </w:rPr>
        <w:t xml:space="preserve"> </w:t>
      </w:r>
      <w:r w:rsidR="00527141" w:rsidRPr="00133FF4">
        <w:rPr>
          <w:rFonts w:ascii="Arial" w:hAnsi="Arial" w:cs="Arial"/>
          <w:sz w:val="22"/>
          <w:szCs w:val="22"/>
        </w:rPr>
        <w:t>m</w:t>
      </w:r>
      <w:r w:rsidR="00C73EED" w:rsidRPr="00133FF4">
        <w:rPr>
          <w:rFonts w:ascii="Arial" w:hAnsi="Arial" w:cs="Arial"/>
          <w:sz w:val="22"/>
          <w:szCs w:val="22"/>
        </w:rPr>
        <w:t>illion</w:t>
      </w:r>
      <w:r w:rsidR="00527141" w:rsidRPr="00133FF4">
        <w:rPr>
          <w:rFonts w:ascii="Arial" w:hAnsi="Arial" w:cs="Arial"/>
          <w:sz w:val="22"/>
          <w:szCs w:val="22"/>
        </w:rPr>
        <w:t xml:space="preserve"> grant, spend was £21.393</w:t>
      </w:r>
      <w:r w:rsidR="00C73EED" w:rsidRPr="00133FF4">
        <w:rPr>
          <w:rFonts w:ascii="Arial" w:hAnsi="Arial" w:cs="Arial"/>
          <w:sz w:val="22"/>
          <w:szCs w:val="22"/>
        </w:rPr>
        <w:t xml:space="preserve"> </w:t>
      </w:r>
      <w:r w:rsidR="00527141" w:rsidRPr="00133FF4">
        <w:rPr>
          <w:rFonts w:ascii="Arial" w:hAnsi="Arial" w:cs="Arial"/>
          <w:sz w:val="22"/>
          <w:szCs w:val="22"/>
        </w:rPr>
        <w:t>m</w:t>
      </w:r>
      <w:r w:rsidR="00C73EED" w:rsidRPr="00133FF4">
        <w:rPr>
          <w:rFonts w:ascii="Arial" w:hAnsi="Arial" w:cs="Arial"/>
          <w:sz w:val="22"/>
          <w:szCs w:val="22"/>
        </w:rPr>
        <w:t>illion</w:t>
      </w:r>
      <w:r w:rsidR="00527141" w:rsidRPr="00133FF4">
        <w:rPr>
          <w:rFonts w:ascii="Arial" w:hAnsi="Arial" w:cs="Arial"/>
          <w:sz w:val="22"/>
          <w:szCs w:val="22"/>
        </w:rPr>
        <w:t xml:space="preserve"> (an underspend of £7,000). </w:t>
      </w:r>
    </w:p>
    <w:p w14:paraId="554DDDF0" w14:textId="38099F21" w:rsidR="00133FF4" w:rsidRDefault="00CA5BBC" w:rsidP="00133FF4">
      <w:pPr>
        <w:pStyle w:val="ListParagraph"/>
        <w:numPr>
          <w:ilvl w:val="0"/>
          <w:numId w:val="5"/>
        </w:numPr>
        <w:spacing w:after="240" w:line="276" w:lineRule="auto"/>
        <w:ind w:hanging="720"/>
        <w:rPr>
          <w:rFonts w:ascii="Arial" w:hAnsi="Arial" w:cs="Arial"/>
          <w:b/>
          <w:sz w:val="22"/>
          <w:szCs w:val="22"/>
        </w:rPr>
      </w:pPr>
      <w:r w:rsidRPr="00C73EED">
        <w:rPr>
          <w:rFonts w:ascii="Arial" w:hAnsi="Arial" w:cs="Arial"/>
          <w:b/>
          <w:sz w:val="22"/>
          <w:szCs w:val="22"/>
        </w:rPr>
        <w:t>M</w:t>
      </w:r>
      <w:r w:rsidR="00C2381A">
        <w:rPr>
          <w:rFonts w:ascii="Arial" w:hAnsi="Arial" w:cs="Arial"/>
          <w:b/>
          <w:sz w:val="22"/>
          <w:szCs w:val="22"/>
        </w:rPr>
        <w:t>o</w:t>
      </w:r>
      <w:r w:rsidRPr="00C73EED">
        <w:rPr>
          <w:rFonts w:ascii="Arial" w:hAnsi="Arial" w:cs="Arial"/>
          <w:b/>
          <w:sz w:val="22"/>
          <w:szCs w:val="22"/>
        </w:rPr>
        <w:t xml:space="preserve">U </w:t>
      </w:r>
      <w:r w:rsidR="00C2381A">
        <w:rPr>
          <w:rFonts w:ascii="Arial" w:hAnsi="Arial" w:cs="Arial"/>
          <w:b/>
          <w:sz w:val="22"/>
          <w:szCs w:val="22"/>
        </w:rPr>
        <w:t>for</w:t>
      </w:r>
      <w:r w:rsidRPr="00C73EED">
        <w:rPr>
          <w:rFonts w:ascii="Arial" w:hAnsi="Arial" w:cs="Arial"/>
          <w:b/>
          <w:sz w:val="22"/>
          <w:szCs w:val="22"/>
        </w:rPr>
        <w:t xml:space="preserve"> 2017/18</w:t>
      </w:r>
    </w:p>
    <w:p w14:paraId="641687BC" w14:textId="77777777" w:rsidR="00133FF4" w:rsidRPr="00133FF4" w:rsidRDefault="005D0BE3" w:rsidP="00133FF4">
      <w:pPr>
        <w:pStyle w:val="ListParagraph"/>
        <w:numPr>
          <w:ilvl w:val="1"/>
          <w:numId w:val="25"/>
        </w:numPr>
        <w:spacing w:after="240" w:line="276" w:lineRule="auto"/>
        <w:rPr>
          <w:rFonts w:ascii="Arial" w:hAnsi="Arial" w:cs="Arial"/>
          <w:b/>
          <w:sz w:val="22"/>
          <w:szCs w:val="22"/>
        </w:rPr>
      </w:pPr>
      <w:r w:rsidRPr="00133FF4">
        <w:rPr>
          <w:rFonts w:ascii="Arial" w:hAnsi="Arial" w:cs="Arial"/>
          <w:sz w:val="22"/>
          <w:szCs w:val="22"/>
        </w:rPr>
        <w:t>At previous meetings members have been updated on our performance against the Memorandum of Understanding (MoU) we have with DCLG around our improvement work and the discussions taking place with the sector and government and improvement priorities for future years.</w:t>
      </w:r>
    </w:p>
    <w:p w14:paraId="10722741" w14:textId="77777777" w:rsidR="00133FF4" w:rsidRPr="00133FF4" w:rsidRDefault="005D0BE3" w:rsidP="00133FF4">
      <w:pPr>
        <w:pStyle w:val="ListParagraph"/>
        <w:numPr>
          <w:ilvl w:val="1"/>
          <w:numId w:val="25"/>
        </w:numPr>
        <w:spacing w:after="240" w:line="276" w:lineRule="auto"/>
        <w:rPr>
          <w:rFonts w:ascii="Arial" w:hAnsi="Arial" w:cs="Arial"/>
          <w:b/>
          <w:sz w:val="22"/>
          <w:szCs w:val="22"/>
        </w:rPr>
      </w:pPr>
      <w:r w:rsidRPr="00133FF4">
        <w:rPr>
          <w:rFonts w:ascii="Arial" w:hAnsi="Arial" w:cs="Arial"/>
          <w:sz w:val="22"/>
          <w:szCs w:val="22"/>
        </w:rPr>
        <w:lastRenderedPageBreak/>
        <w:t>Negotiations continued with DCLG during the first part of 2017 and all members of the Board were written to on 3 April to update them on the position.</w:t>
      </w:r>
    </w:p>
    <w:p w14:paraId="45BFB879" w14:textId="7D196627" w:rsidR="00CA5BBC" w:rsidRPr="00133FF4" w:rsidRDefault="005D0BE3" w:rsidP="00133FF4">
      <w:pPr>
        <w:pStyle w:val="ListParagraph"/>
        <w:numPr>
          <w:ilvl w:val="1"/>
          <w:numId w:val="25"/>
        </w:numPr>
        <w:spacing w:after="240" w:line="276" w:lineRule="auto"/>
        <w:rPr>
          <w:rFonts w:ascii="Arial" w:hAnsi="Arial" w:cs="Arial"/>
          <w:b/>
          <w:sz w:val="22"/>
          <w:szCs w:val="22"/>
        </w:rPr>
      </w:pPr>
      <w:r w:rsidRPr="00133FF4">
        <w:rPr>
          <w:rFonts w:ascii="Arial" w:hAnsi="Arial" w:cs="Arial"/>
          <w:sz w:val="22"/>
          <w:szCs w:val="22"/>
        </w:rPr>
        <w:t>DCLG signed off the MoU on 24 April and agreed a sum of £21</w:t>
      </w:r>
      <w:r w:rsidR="00133FF4">
        <w:rPr>
          <w:rFonts w:ascii="Arial" w:hAnsi="Arial" w:cs="Arial"/>
          <w:sz w:val="22"/>
          <w:szCs w:val="22"/>
        </w:rPr>
        <w:t xml:space="preserve"> </w:t>
      </w:r>
      <w:r w:rsidRPr="00133FF4">
        <w:rPr>
          <w:rFonts w:ascii="Arial" w:hAnsi="Arial" w:cs="Arial"/>
          <w:sz w:val="22"/>
          <w:szCs w:val="22"/>
        </w:rPr>
        <w:t>m</w:t>
      </w:r>
      <w:r w:rsidR="00133FF4">
        <w:rPr>
          <w:rFonts w:ascii="Arial" w:hAnsi="Arial" w:cs="Arial"/>
          <w:sz w:val="22"/>
          <w:szCs w:val="22"/>
        </w:rPr>
        <w:t>illion</w:t>
      </w:r>
      <w:r w:rsidRPr="00133FF4">
        <w:rPr>
          <w:rFonts w:ascii="Arial" w:hAnsi="Arial" w:cs="Arial"/>
          <w:sz w:val="22"/>
          <w:szCs w:val="22"/>
        </w:rPr>
        <w:t xml:space="preserve"> for 2017/18, which is a reduction of £400,000 from 2016/17.</w:t>
      </w:r>
      <w:r w:rsidR="00133FF4">
        <w:rPr>
          <w:rFonts w:ascii="Arial" w:hAnsi="Arial" w:cs="Arial"/>
          <w:sz w:val="22"/>
          <w:szCs w:val="22"/>
        </w:rPr>
        <w:t xml:space="preserve"> </w:t>
      </w:r>
      <w:r w:rsidR="00CA5BBC" w:rsidRPr="00133FF4">
        <w:rPr>
          <w:rFonts w:ascii="Arial" w:hAnsi="Arial" w:cs="Arial"/>
          <w:sz w:val="22"/>
          <w:szCs w:val="22"/>
        </w:rPr>
        <w:t>A copy of the MoU is attached</w:t>
      </w:r>
      <w:r w:rsidR="00BA2807" w:rsidRPr="00133FF4">
        <w:rPr>
          <w:rFonts w:ascii="Arial" w:hAnsi="Arial" w:cs="Arial"/>
          <w:sz w:val="22"/>
          <w:szCs w:val="22"/>
        </w:rPr>
        <w:t xml:space="preserve"> as </w:t>
      </w:r>
      <w:r w:rsidR="00BA2807" w:rsidRPr="00133FF4">
        <w:rPr>
          <w:rFonts w:ascii="Arial" w:hAnsi="Arial" w:cs="Arial"/>
          <w:b/>
          <w:sz w:val="22"/>
          <w:szCs w:val="22"/>
          <w:u w:val="single"/>
        </w:rPr>
        <w:t>Appendix 2</w:t>
      </w:r>
      <w:r w:rsidR="00133FF4" w:rsidRPr="00133FF4">
        <w:rPr>
          <w:rFonts w:ascii="Arial" w:hAnsi="Arial" w:cs="Arial"/>
          <w:sz w:val="22"/>
          <w:szCs w:val="22"/>
        </w:rPr>
        <w:t>.</w:t>
      </w:r>
    </w:p>
    <w:sectPr w:rsidR="00CA5BBC" w:rsidRPr="00133FF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0EAA7" w14:textId="77777777" w:rsidR="00C73EED" w:rsidRDefault="00C73EED">
      <w:r>
        <w:separator/>
      </w:r>
    </w:p>
  </w:endnote>
  <w:endnote w:type="continuationSeparator" w:id="0">
    <w:p w14:paraId="5C4A64D4" w14:textId="77777777" w:rsidR="00C73EED" w:rsidRDefault="00C7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E424" w14:textId="77777777" w:rsidR="00C2381A" w:rsidRDefault="00C23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6DA0" w14:textId="77777777" w:rsidR="00C2381A" w:rsidRDefault="00C23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F138" w14:textId="77777777" w:rsidR="00C2381A" w:rsidRDefault="00C2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DB14" w14:textId="77777777" w:rsidR="00C73EED" w:rsidRDefault="00C73EED">
      <w:r>
        <w:separator/>
      </w:r>
    </w:p>
  </w:footnote>
  <w:footnote w:type="continuationSeparator" w:id="0">
    <w:p w14:paraId="20A1450A" w14:textId="77777777" w:rsidR="00C73EED" w:rsidRDefault="00C7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4381" w14:textId="77777777" w:rsidR="00C2381A" w:rsidRDefault="00C2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992F" w14:textId="77777777" w:rsidR="00C73EED" w:rsidRDefault="00C73EED"/>
  <w:tbl>
    <w:tblPr>
      <w:tblW w:w="9180" w:type="dxa"/>
      <w:tblLook w:val="01E0" w:firstRow="1" w:lastRow="1" w:firstColumn="1" w:lastColumn="1" w:noHBand="0" w:noVBand="0"/>
    </w:tblPr>
    <w:tblGrid>
      <w:gridCol w:w="5284"/>
      <w:gridCol w:w="3896"/>
    </w:tblGrid>
    <w:tr w:rsidR="00C73EED" w:rsidRPr="0066328A" w14:paraId="7AC34DDB" w14:textId="77777777" w:rsidTr="00545E64">
      <w:tc>
        <w:tcPr>
          <w:tcW w:w="5284" w:type="dxa"/>
          <w:vMerge w:val="restart"/>
          <w:shd w:val="clear" w:color="auto" w:fill="auto"/>
        </w:tcPr>
        <w:p w14:paraId="19A03B63" w14:textId="77777777" w:rsidR="00C73EED" w:rsidRPr="00C73EED" w:rsidRDefault="00C73EED" w:rsidP="009445F4">
          <w:pPr>
            <w:tabs>
              <w:tab w:val="center" w:pos="4153"/>
              <w:tab w:val="right" w:pos="8306"/>
            </w:tabs>
            <w:rPr>
              <w:rFonts w:ascii="Frutiger 45 Light" w:hAnsi="Frutiger 45 Light"/>
              <w:sz w:val="22"/>
              <w:szCs w:val="22"/>
            </w:rPr>
          </w:pPr>
          <w:bookmarkStart w:id="0" w:name="_GoBack" w:colFirst="0" w:colLast="1"/>
          <w:r w:rsidRPr="00C73EED">
            <w:rPr>
              <w:rFonts w:ascii="Arial" w:hAnsi="Arial" w:cs="Arial"/>
              <w:noProof/>
              <w:sz w:val="22"/>
              <w:szCs w:val="22"/>
              <w:lang w:eastAsia="ja-JP"/>
            </w:rPr>
            <w:drawing>
              <wp:inline distT="0" distB="0" distL="0" distR="0" wp14:anchorId="686629FA" wp14:editId="326551AF">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3312FEBC" w14:textId="51172CB9" w:rsidR="00C73EED" w:rsidRPr="00C73EED" w:rsidRDefault="00C73EED" w:rsidP="00CA5BBC">
          <w:pPr>
            <w:tabs>
              <w:tab w:val="center" w:pos="4153"/>
              <w:tab w:val="right" w:pos="8306"/>
            </w:tabs>
            <w:rPr>
              <w:rFonts w:ascii="Arial" w:hAnsi="Arial" w:cs="Arial"/>
              <w:b/>
              <w:sz w:val="22"/>
              <w:szCs w:val="22"/>
            </w:rPr>
          </w:pPr>
          <w:r>
            <w:rPr>
              <w:rFonts w:ascii="Arial" w:hAnsi="Arial" w:cs="Arial"/>
              <w:b/>
              <w:sz w:val="22"/>
              <w:szCs w:val="22"/>
            </w:rPr>
            <w:t>Improvement &amp;</w:t>
          </w:r>
          <w:r w:rsidRPr="00C73EED">
            <w:rPr>
              <w:rFonts w:ascii="Arial" w:hAnsi="Arial" w:cs="Arial"/>
              <w:b/>
              <w:sz w:val="22"/>
              <w:szCs w:val="22"/>
            </w:rPr>
            <w:t xml:space="preserve"> Innovation Board</w:t>
          </w:r>
        </w:p>
      </w:tc>
    </w:tr>
    <w:tr w:rsidR="00C73EED" w:rsidRPr="0066328A" w14:paraId="5E6F10F8" w14:textId="77777777" w:rsidTr="00545E64">
      <w:trPr>
        <w:trHeight w:val="450"/>
      </w:trPr>
      <w:tc>
        <w:tcPr>
          <w:tcW w:w="5284" w:type="dxa"/>
          <w:vMerge/>
          <w:shd w:val="clear" w:color="auto" w:fill="auto"/>
        </w:tcPr>
        <w:p w14:paraId="52014FA6" w14:textId="77777777" w:rsidR="00C73EED" w:rsidRPr="00C73EED" w:rsidRDefault="00C73EED" w:rsidP="009445F4">
          <w:pPr>
            <w:tabs>
              <w:tab w:val="center" w:pos="4153"/>
              <w:tab w:val="right" w:pos="8306"/>
            </w:tabs>
            <w:rPr>
              <w:rFonts w:ascii="Frutiger 45 Light" w:hAnsi="Frutiger 45 Light"/>
              <w:sz w:val="22"/>
              <w:szCs w:val="22"/>
            </w:rPr>
          </w:pPr>
        </w:p>
      </w:tc>
      <w:tc>
        <w:tcPr>
          <w:tcW w:w="3896" w:type="dxa"/>
          <w:shd w:val="clear" w:color="auto" w:fill="auto"/>
          <w:vAlign w:val="center"/>
        </w:tcPr>
        <w:p w14:paraId="17597876" w14:textId="411E6CF8" w:rsidR="00C73EED" w:rsidRPr="00C73EED" w:rsidRDefault="00C73EED" w:rsidP="009445F4">
          <w:pPr>
            <w:tabs>
              <w:tab w:val="center" w:pos="4153"/>
              <w:tab w:val="right" w:pos="8306"/>
            </w:tabs>
            <w:spacing w:before="60"/>
            <w:rPr>
              <w:rFonts w:ascii="Arial" w:hAnsi="Arial" w:cs="Arial"/>
              <w:sz w:val="22"/>
              <w:szCs w:val="22"/>
            </w:rPr>
          </w:pPr>
          <w:r w:rsidRPr="00C73EED">
            <w:rPr>
              <w:rFonts w:ascii="Arial" w:hAnsi="Arial" w:cs="Arial"/>
              <w:sz w:val="22"/>
              <w:szCs w:val="22"/>
            </w:rPr>
            <w:t>11 July 2017</w:t>
          </w:r>
        </w:p>
      </w:tc>
    </w:tr>
    <w:bookmarkEnd w:id="0"/>
  </w:tbl>
  <w:p w14:paraId="65EAEC95" w14:textId="77777777" w:rsidR="00C73EED" w:rsidRDefault="00C73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51CD" w14:textId="77777777" w:rsidR="00C2381A" w:rsidRDefault="00C23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B7"/>
    <w:multiLevelType w:val="hybridMultilevel"/>
    <w:tmpl w:val="F222810E"/>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0F6455"/>
    <w:multiLevelType w:val="hybridMultilevel"/>
    <w:tmpl w:val="9BB85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A25AB"/>
    <w:multiLevelType w:val="hybridMultilevel"/>
    <w:tmpl w:val="952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58EE"/>
    <w:multiLevelType w:val="hybridMultilevel"/>
    <w:tmpl w:val="CE9AA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5D44E2"/>
    <w:multiLevelType w:val="multilevel"/>
    <w:tmpl w:val="B02E4B1C"/>
    <w:lvl w:ilvl="0">
      <w:start w:val="2"/>
      <w:numFmt w:val="decimal"/>
      <w:lvlText w:val="%1"/>
      <w:lvlJc w:val="left"/>
      <w:pPr>
        <w:ind w:left="1069"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5" w15:restartNumberingAfterBreak="0">
    <w:nsid w:val="10636611"/>
    <w:multiLevelType w:val="hybridMultilevel"/>
    <w:tmpl w:val="020611DE"/>
    <w:lvl w:ilvl="0" w:tplc="23780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DD25EC"/>
    <w:multiLevelType w:val="multilevel"/>
    <w:tmpl w:val="B02E4B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437B8"/>
    <w:multiLevelType w:val="multilevel"/>
    <w:tmpl w:val="7136C372"/>
    <w:lvl w:ilvl="0">
      <w:start w:val="2"/>
      <w:numFmt w:val="decimal"/>
      <w:lvlText w:val="%1"/>
      <w:lvlJc w:val="left"/>
      <w:pPr>
        <w:ind w:left="360" w:hanging="360"/>
      </w:pPr>
      <w:rPr>
        <w:rFonts w:hint="default"/>
      </w:rPr>
    </w:lvl>
    <w:lvl w:ilvl="1">
      <w:start w:val="5"/>
      <w:numFmt w:val="decimal"/>
      <w:lvlText w:val="%1.%2"/>
      <w:lvlJc w:val="left"/>
      <w:pPr>
        <w:ind w:left="720"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5337C5"/>
    <w:multiLevelType w:val="multilevel"/>
    <w:tmpl w:val="2D00D304"/>
    <w:lvl w:ilvl="0">
      <w:start w:val="3"/>
      <w:numFmt w:val="decimal"/>
      <w:lvlText w:val="%1."/>
      <w:lvlJc w:val="left"/>
      <w:pPr>
        <w:ind w:left="720" w:hanging="360"/>
      </w:pPr>
      <w:rPr>
        <w:rFonts w:hint="default"/>
        <w:b w:val="0"/>
      </w:rPr>
    </w:lvl>
    <w:lvl w:ilvl="1">
      <w:start w:val="1"/>
      <w:numFmt w:val="decimal"/>
      <w:isLgl/>
      <w:suff w:val="space"/>
      <w:lvlText w:val="%1.%2"/>
      <w:lvlJc w:val="left"/>
      <w:pPr>
        <w:ind w:left="720" w:hanging="363"/>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B716A7F"/>
    <w:multiLevelType w:val="hybridMultilevel"/>
    <w:tmpl w:val="AB0C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B37EBA"/>
    <w:multiLevelType w:val="multilevel"/>
    <w:tmpl w:val="D2F0D804"/>
    <w:lvl w:ilvl="0">
      <w:start w:val="3"/>
      <w:numFmt w:val="decimal"/>
      <w:lvlText w:val="%1."/>
      <w:lvlJc w:val="left"/>
      <w:pPr>
        <w:ind w:left="360" w:hanging="360"/>
      </w:pPr>
      <w:rPr>
        <w:rFonts w:hint="default"/>
        <w:b w:val="0"/>
      </w:rPr>
    </w:lvl>
    <w:lvl w:ilvl="1">
      <w:start w:val="1"/>
      <w:numFmt w:val="decimal"/>
      <w:suff w:val="space"/>
      <w:lvlText w:val="%1.%2."/>
      <w:lvlJc w:val="left"/>
      <w:pPr>
        <w:ind w:left="720" w:hanging="3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C709F4"/>
    <w:multiLevelType w:val="hybridMultilevel"/>
    <w:tmpl w:val="0E2AD8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E1806D1"/>
    <w:multiLevelType w:val="hybridMultilevel"/>
    <w:tmpl w:val="535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4C6A05"/>
    <w:multiLevelType w:val="multilevel"/>
    <w:tmpl w:val="A800AA2C"/>
    <w:lvl w:ilvl="0">
      <w:start w:val="1"/>
      <w:numFmt w:val="decimal"/>
      <w:lvlText w:val="%1."/>
      <w:lvlJc w:val="left"/>
      <w:pPr>
        <w:tabs>
          <w:tab w:val="num" w:pos="680"/>
        </w:tabs>
        <w:ind w:left="357" w:hanging="357"/>
      </w:pPr>
      <w:rPr>
        <w:rFonts w:hint="default"/>
        <w:b w:val="0"/>
        <w:sz w:val="22"/>
        <w:szCs w:val="22"/>
      </w:rPr>
    </w:lvl>
    <w:lvl w:ilvl="1">
      <w:start w:val="1"/>
      <w:numFmt w:val="decimal"/>
      <w:suff w:val="space"/>
      <w:lvlText w:val="%1.%2."/>
      <w:lvlJc w:val="left"/>
      <w:pPr>
        <w:ind w:left="720" w:hanging="363"/>
      </w:pPr>
      <w:rPr>
        <w:rFonts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78528E9"/>
    <w:multiLevelType w:val="hybridMultilevel"/>
    <w:tmpl w:val="70E2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D7EB8"/>
    <w:multiLevelType w:val="multilevel"/>
    <w:tmpl w:val="B02E4B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02049D"/>
    <w:multiLevelType w:val="hybridMultilevel"/>
    <w:tmpl w:val="38CAFF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E82C4A"/>
    <w:multiLevelType w:val="multilevel"/>
    <w:tmpl w:val="75DAA15E"/>
    <w:lvl w:ilvl="0">
      <w:start w:val="1"/>
      <w:numFmt w:val="decimal"/>
      <w:lvlText w:val="%1"/>
      <w:lvlJc w:val="left"/>
      <w:pPr>
        <w:ind w:left="360" w:hanging="360"/>
      </w:pPr>
      <w:rPr>
        <w:rFonts w:hint="default"/>
        <w:b w:val="0"/>
      </w:rPr>
    </w:lvl>
    <w:lvl w:ilvl="1">
      <w:start w:val="1"/>
      <w:numFmt w:val="decimal"/>
      <w:lvlText w:val="%1.%2"/>
      <w:lvlJc w:val="left"/>
      <w:pPr>
        <w:ind w:left="720" w:hanging="3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BA4DFA"/>
    <w:multiLevelType w:val="hybridMultilevel"/>
    <w:tmpl w:val="4A005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7C4E96"/>
    <w:multiLevelType w:val="hybridMultilevel"/>
    <w:tmpl w:val="0CFA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BA0D6B"/>
    <w:multiLevelType w:val="hybridMultilevel"/>
    <w:tmpl w:val="09D69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4D31B8"/>
    <w:multiLevelType w:val="hybridMultilevel"/>
    <w:tmpl w:val="4B380B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785B15B2"/>
    <w:multiLevelType w:val="hybridMultilevel"/>
    <w:tmpl w:val="150C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CF622B"/>
    <w:multiLevelType w:val="hybridMultilevel"/>
    <w:tmpl w:val="C9E8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596538"/>
    <w:multiLevelType w:val="multilevel"/>
    <w:tmpl w:val="2C9CC13A"/>
    <w:lvl w:ilvl="0">
      <w:start w:val="4"/>
      <w:numFmt w:val="decimal"/>
      <w:lvlText w:val="%1."/>
      <w:lvlJc w:val="left"/>
      <w:pPr>
        <w:ind w:left="360" w:hanging="360"/>
      </w:pPr>
      <w:rPr>
        <w:rFonts w:hint="default"/>
        <w:b w:val="0"/>
      </w:rPr>
    </w:lvl>
    <w:lvl w:ilvl="1">
      <w:start w:val="1"/>
      <w:numFmt w:val="decimal"/>
      <w:suff w:val="space"/>
      <w:lvlText w:val="%1.%2."/>
      <w:lvlJc w:val="left"/>
      <w:pPr>
        <w:ind w:left="720" w:hanging="3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7"/>
  </w:num>
  <w:num w:numId="3">
    <w:abstractNumId w:val="21"/>
  </w:num>
  <w:num w:numId="4">
    <w:abstractNumId w:val="11"/>
  </w:num>
  <w:num w:numId="5">
    <w:abstractNumId w:val="8"/>
  </w:num>
  <w:num w:numId="6">
    <w:abstractNumId w:val="2"/>
  </w:num>
  <w:num w:numId="7">
    <w:abstractNumId w:val="16"/>
  </w:num>
  <w:num w:numId="8">
    <w:abstractNumId w:val="1"/>
  </w:num>
  <w:num w:numId="9">
    <w:abstractNumId w:val="14"/>
  </w:num>
  <w:num w:numId="10">
    <w:abstractNumId w:val="23"/>
  </w:num>
  <w:num w:numId="11">
    <w:abstractNumId w:val="22"/>
  </w:num>
  <w:num w:numId="12">
    <w:abstractNumId w:val="3"/>
  </w:num>
  <w:num w:numId="13">
    <w:abstractNumId w:val="12"/>
  </w:num>
  <w:num w:numId="14">
    <w:abstractNumId w:val="9"/>
  </w:num>
  <w:num w:numId="15">
    <w:abstractNumId w:val="20"/>
  </w:num>
  <w:num w:numId="16">
    <w:abstractNumId w:val="18"/>
  </w:num>
  <w:num w:numId="17">
    <w:abstractNumId w:val="0"/>
  </w:num>
  <w:num w:numId="18">
    <w:abstractNumId w:val="19"/>
  </w:num>
  <w:num w:numId="19">
    <w:abstractNumId w:val="5"/>
  </w:num>
  <w:num w:numId="20">
    <w:abstractNumId w:val="7"/>
  </w:num>
  <w:num w:numId="21">
    <w:abstractNumId w:val="4"/>
  </w:num>
  <w:num w:numId="22">
    <w:abstractNumId w:val="15"/>
  </w:num>
  <w:num w:numId="23">
    <w:abstractNumId w:val="6"/>
  </w:num>
  <w:num w:numId="24">
    <w:abstractNumId w:val="10"/>
  </w:num>
  <w:num w:numId="2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31D01"/>
    <w:rsid w:val="00033906"/>
    <w:rsid w:val="00050898"/>
    <w:rsid w:val="00054DC8"/>
    <w:rsid w:val="00055BD7"/>
    <w:rsid w:val="00056036"/>
    <w:rsid w:val="000677E4"/>
    <w:rsid w:val="00073B23"/>
    <w:rsid w:val="00075486"/>
    <w:rsid w:val="00075EE8"/>
    <w:rsid w:val="000762EF"/>
    <w:rsid w:val="00081B77"/>
    <w:rsid w:val="00082022"/>
    <w:rsid w:val="000852AC"/>
    <w:rsid w:val="00085325"/>
    <w:rsid w:val="0009098F"/>
    <w:rsid w:val="00094BA7"/>
    <w:rsid w:val="0009596D"/>
    <w:rsid w:val="0009693A"/>
    <w:rsid w:val="00097EE0"/>
    <w:rsid w:val="000A085A"/>
    <w:rsid w:val="000A1A32"/>
    <w:rsid w:val="000A677C"/>
    <w:rsid w:val="000B09B6"/>
    <w:rsid w:val="000B5520"/>
    <w:rsid w:val="000B5ADF"/>
    <w:rsid w:val="000B70CC"/>
    <w:rsid w:val="000C1A72"/>
    <w:rsid w:val="000C1D0A"/>
    <w:rsid w:val="000C1DD3"/>
    <w:rsid w:val="000C2A35"/>
    <w:rsid w:val="000C2EA7"/>
    <w:rsid w:val="000D185A"/>
    <w:rsid w:val="000E117D"/>
    <w:rsid w:val="000E26FA"/>
    <w:rsid w:val="000E37D5"/>
    <w:rsid w:val="000F5B31"/>
    <w:rsid w:val="000F77D2"/>
    <w:rsid w:val="001013B9"/>
    <w:rsid w:val="00101680"/>
    <w:rsid w:val="0011628E"/>
    <w:rsid w:val="00123DBF"/>
    <w:rsid w:val="00133BBF"/>
    <w:rsid w:val="00133FF4"/>
    <w:rsid w:val="001346B8"/>
    <w:rsid w:val="001353FD"/>
    <w:rsid w:val="00147C9F"/>
    <w:rsid w:val="00150A79"/>
    <w:rsid w:val="00162966"/>
    <w:rsid w:val="00172E18"/>
    <w:rsid w:val="00175BB8"/>
    <w:rsid w:val="00177ABF"/>
    <w:rsid w:val="001816BE"/>
    <w:rsid w:val="0018577F"/>
    <w:rsid w:val="00194CA5"/>
    <w:rsid w:val="00195CD8"/>
    <w:rsid w:val="00196DB1"/>
    <w:rsid w:val="001A760E"/>
    <w:rsid w:val="001A7618"/>
    <w:rsid w:val="001B3B36"/>
    <w:rsid w:val="001C0EB7"/>
    <w:rsid w:val="001C203A"/>
    <w:rsid w:val="001D04EB"/>
    <w:rsid w:val="001D074D"/>
    <w:rsid w:val="001D2FFE"/>
    <w:rsid w:val="001D39FB"/>
    <w:rsid w:val="001E0AF7"/>
    <w:rsid w:val="001E1E76"/>
    <w:rsid w:val="001E737C"/>
    <w:rsid w:val="001F41A4"/>
    <w:rsid w:val="001F79CA"/>
    <w:rsid w:val="001F7D95"/>
    <w:rsid w:val="0020207C"/>
    <w:rsid w:val="00202F3A"/>
    <w:rsid w:val="002052AE"/>
    <w:rsid w:val="00206C6A"/>
    <w:rsid w:val="00213064"/>
    <w:rsid w:val="00214427"/>
    <w:rsid w:val="002159B6"/>
    <w:rsid w:val="00220CDD"/>
    <w:rsid w:val="00222A24"/>
    <w:rsid w:val="0022594D"/>
    <w:rsid w:val="00230CD0"/>
    <w:rsid w:val="00243548"/>
    <w:rsid w:val="00245A31"/>
    <w:rsid w:val="00245A7F"/>
    <w:rsid w:val="00246644"/>
    <w:rsid w:val="002526B8"/>
    <w:rsid w:val="002528F7"/>
    <w:rsid w:val="0025565B"/>
    <w:rsid w:val="00255DA1"/>
    <w:rsid w:val="002565FA"/>
    <w:rsid w:val="0026193B"/>
    <w:rsid w:val="00272D65"/>
    <w:rsid w:val="002764E4"/>
    <w:rsid w:val="00277DAD"/>
    <w:rsid w:val="00281B6D"/>
    <w:rsid w:val="00283E28"/>
    <w:rsid w:val="002851D1"/>
    <w:rsid w:val="0029035F"/>
    <w:rsid w:val="00294E3A"/>
    <w:rsid w:val="00297C14"/>
    <w:rsid w:val="002A0D65"/>
    <w:rsid w:val="002A12F5"/>
    <w:rsid w:val="002C31FB"/>
    <w:rsid w:val="002C3B62"/>
    <w:rsid w:val="002E014B"/>
    <w:rsid w:val="002E1B9D"/>
    <w:rsid w:val="002E3A0E"/>
    <w:rsid w:val="002F5493"/>
    <w:rsid w:val="002F7FBD"/>
    <w:rsid w:val="00300CCF"/>
    <w:rsid w:val="003026E1"/>
    <w:rsid w:val="00304CFD"/>
    <w:rsid w:val="00304F32"/>
    <w:rsid w:val="0030659C"/>
    <w:rsid w:val="00315770"/>
    <w:rsid w:val="00320677"/>
    <w:rsid w:val="003276B9"/>
    <w:rsid w:val="0033056D"/>
    <w:rsid w:val="00330C37"/>
    <w:rsid w:val="0033241D"/>
    <w:rsid w:val="003338B0"/>
    <w:rsid w:val="0033625F"/>
    <w:rsid w:val="003455E7"/>
    <w:rsid w:val="003510D2"/>
    <w:rsid w:val="00361355"/>
    <w:rsid w:val="00370EA4"/>
    <w:rsid w:val="00372F52"/>
    <w:rsid w:val="00381FB8"/>
    <w:rsid w:val="00382381"/>
    <w:rsid w:val="00392ECF"/>
    <w:rsid w:val="003A00FE"/>
    <w:rsid w:val="003A069D"/>
    <w:rsid w:val="003A2BEF"/>
    <w:rsid w:val="003A3B7D"/>
    <w:rsid w:val="003A5401"/>
    <w:rsid w:val="003B5722"/>
    <w:rsid w:val="003B74F8"/>
    <w:rsid w:val="003C0DD7"/>
    <w:rsid w:val="003C59F0"/>
    <w:rsid w:val="003C7C87"/>
    <w:rsid w:val="003D09AA"/>
    <w:rsid w:val="003D24E8"/>
    <w:rsid w:val="003D5A1D"/>
    <w:rsid w:val="003E0575"/>
    <w:rsid w:val="003E12FA"/>
    <w:rsid w:val="003E1BC7"/>
    <w:rsid w:val="003E57B4"/>
    <w:rsid w:val="003E67CF"/>
    <w:rsid w:val="003F18AA"/>
    <w:rsid w:val="003F64A3"/>
    <w:rsid w:val="003F7094"/>
    <w:rsid w:val="0040031F"/>
    <w:rsid w:val="004016D4"/>
    <w:rsid w:val="00402F93"/>
    <w:rsid w:val="004033DE"/>
    <w:rsid w:val="00405262"/>
    <w:rsid w:val="004118CC"/>
    <w:rsid w:val="00412E75"/>
    <w:rsid w:val="004230B5"/>
    <w:rsid w:val="00423509"/>
    <w:rsid w:val="00427623"/>
    <w:rsid w:val="00433DBE"/>
    <w:rsid w:val="00437142"/>
    <w:rsid w:val="004427BA"/>
    <w:rsid w:val="004570FD"/>
    <w:rsid w:val="004571B9"/>
    <w:rsid w:val="004627EA"/>
    <w:rsid w:val="004630A8"/>
    <w:rsid w:val="0047073B"/>
    <w:rsid w:val="004757AD"/>
    <w:rsid w:val="00475BEF"/>
    <w:rsid w:val="00482D34"/>
    <w:rsid w:val="004849DE"/>
    <w:rsid w:val="00486A29"/>
    <w:rsid w:val="004945A5"/>
    <w:rsid w:val="00495FDA"/>
    <w:rsid w:val="00497722"/>
    <w:rsid w:val="004A0015"/>
    <w:rsid w:val="004A2463"/>
    <w:rsid w:val="004B236A"/>
    <w:rsid w:val="004B245F"/>
    <w:rsid w:val="004B3F25"/>
    <w:rsid w:val="004B48C3"/>
    <w:rsid w:val="004C1BAD"/>
    <w:rsid w:val="004C42AF"/>
    <w:rsid w:val="004C4C6F"/>
    <w:rsid w:val="004C53F6"/>
    <w:rsid w:val="004D24DE"/>
    <w:rsid w:val="004D644A"/>
    <w:rsid w:val="004E0590"/>
    <w:rsid w:val="004E3487"/>
    <w:rsid w:val="00501DF8"/>
    <w:rsid w:val="0050306D"/>
    <w:rsid w:val="0050334C"/>
    <w:rsid w:val="00517A06"/>
    <w:rsid w:val="00517C92"/>
    <w:rsid w:val="00520A28"/>
    <w:rsid w:val="00520B2A"/>
    <w:rsid w:val="00527141"/>
    <w:rsid w:val="00534CEF"/>
    <w:rsid w:val="005365C3"/>
    <w:rsid w:val="0054355C"/>
    <w:rsid w:val="00543FFF"/>
    <w:rsid w:val="00545E64"/>
    <w:rsid w:val="00552BFD"/>
    <w:rsid w:val="00553C83"/>
    <w:rsid w:val="00554292"/>
    <w:rsid w:val="00566B93"/>
    <w:rsid w:val="00575348"/>
    <w:rsid w:val="0058427C"/>
    <w:rsid w:val="00586AA8"/>
    <w:rsid w:val="00586E8C"/>
    <w:rsid w:val="00592A53"/>
    <w:rsid w:val="0059415E"/>
    <w:rsid w:val="00596F92"/>
    <w:rsid w:val="005A321B"/>
    <w:rsid w:val="005A5CE8"/>
    <w:rsid w:val="005A649B"/>
    <w:rsid w:val="005B1CA8"/>
    <w:rsid w:val="005C064E"/>
    <w:rsid w:val="005D0BE3"/>
    <w:rsid w:val="005D4581"/>
    <w:rsid w:val="005D61A4"/>
    <w:rsid w:val="005D6346"/>
    <w:rsid w:val="005F1795"/>
    <w:rsid w:val="005F455F"/>
    <w:rsid w:val="00603D36"/>
    <w:rsid w:val="00611A2B"/>
    <w:rsid w:val="006164EB"/>
    <w:rsid w:val="006173D6"/>
    <w:rsid w:val="0061798E"/>
    <w:rsid w:val="00617BFC"/>
    <w:rsid w:val="00623B1C"/>
    <w:rsid w:val="0062652D"/>
    <w:rsid w:val="0062740F"/>
    <w:rsid w:val="00633367"/>
    <w:rsid w:val="00636865"/>
    <w:rsid w:val="00642195"/>
    <w:rsid w:val="006469CD"/>
    <w:rsid w:val="00652E5C"/>
    <w:rsid w:val="00657BD4"/>
    <w:rsid w:val="0066328A"/>
    <w:rsid w:val="00670A7C"/>
    <w:rsid w:val="00676E91"/>
    <w:rsid w:val="00677FBC"/>
    <w:rsid w:val="0068013E"/>
    <w:rsid w:val="00680FFD"/>
    <w:rsid w:val="006912F7"/>
    <w:rsid w:val="00696623"/>
    <w:rsid w:val="0069663D"/>
    <w:rsid w:val="006A0636"/>
    <w:rsid w:val="006A5CF4"/>
    <w:rsid w:val="006B031A"/>
    <w:rsid w:val="006B0FC2"/>
    <w:rsid w:val="006B17FC"/>
    <w:rsid w:val="006B3745"/>
    <w:rsid w:val="006B5E67"/>
    <w:rsid w:val="006C16FD"/>
    <w:rsid w:val="006C5DF2"/>
    <w:rsid w:val="006D3181"/>
    <w:rsid w:val="006E00CA"/>
    <w:rsid w:val="006E00D3"/>
    <w:rsid w:val="006E405E"/>
    <w:rsid w:val="006F07F5"/>
    <w:rsid w:val="006F500E"/>
    <w:rsid w:val="006F6960"/>
    <w:rsid w:val="007024FF"/>
    <w:rsid w:val="0070597B"/>
    <w:rsid w:val="00706136"/>
    <w:rsid w:val="007072FF"/>
    <w:rsid w:val="007075BA"/>
    <w:rsid w:val="007161C9"/>
    <w:rsid w:val="0071623C"/>
    <w:rsid w:val="00723676"/>
    <w:rsid w:val="00725170"/>
    <w:rsid w:val="00727445"/>
    <w:rsid w:val="00727BAD"/>
    <w:rsid w:val="007302E3"/>
    <w:rsid w:val="00732EA5"/>
    <w:rsid w:val="007376D1"/>
    <w:rsid w:val="007412EC"/>
    <w:rsid w:val="00747BBB"/>
    <w:rsid w:val="007512CD"/>
    <w:rsid w:val="007535B8"/>
    <w:rsid w:val="0076476A"/>
    <w:rsid w:val="00767224"/>
    <w:rsid w:val="00793664"/>
    <w:rsid w:val="007A3A13"/>
    <w:rsid w:val="007B58F3"/>
    <w:rsid w:val="007B7AF6"/>
    <w:rsid w:val="007C1588"/>
    <w:rsid w:val="007C1D46"/>
    <w:rsid w:val="007C6AA0"/>
    <w:rsid w:val="007D0BC7"/>
    <w:rsid w:val="007D6DFF"/>
    <w:rsid w:val="007D7126"/>
    <w:rsid w:val="007E01EA"/>
    <w:rsid w:val="007E1569"/>
    <w:rsid w:val="007E1DB1"/>
    <w:rsid w:val="007E3C6C"/>
    <w:rsid w:val="007E440A"/>
    <w:rsid w:val="007E5800"/>
    <w:rsid w:val="007E7B7B"/>
    <w:rsid w:val="007F2856"/>
    <w:rsid w:val="007F2D0D"/>
    <w:rsid w:val="0081033D"/>
    <w:rsid w:val="008132C6"/>
    <w:rsid w:val="00815090"/>
    <w:rsid w:val="0081533C"/>
    <w:rsid w:val="00817344"/>
    <w:rsid w:val="008175A2"/>
    <w:rsid w:val="00817B39"/>
    <w:rsid w:val="00823D83"/>
    <w:rsid w:val="00825089"/>
    <w:rsid w:val="00831618"/>
    <w:rsid w:val="00833B26"/>
    <w:rsid w:val="00834ECB"/>
    <w:rsid w:val="0083544C"/>
    <w:rsid w:val="00840685"/>
    <w:rsid w:val="008530F7"/>
    <w:rsid w:val="00853FBA"/>
    <w:rsid w:val="00854764"/>
    <w:rsid w:val="00855D64"/>
    <w:rsid w:val="00861CE8"/>
    <w:rsid w:val="00862660"/>
    <w:rsid w:val="00863BDD"/>
    <w:rsid w:val="008700A5"/>
    <w:rsid w:val="0087232F"/>
    <w:rsid w:val="00882238"/>
    <w:rsid w:val="008852FC"/>
    <w:rsid w:val="00886247"/>
    <w:rsid w:val="00890A36"/>
    <w:rsid w:val="00890F55"/>
    <w:rsid w:val="0089227B"/>
    <w:rsid w:val="00892685"/>
    <w:rsid w:val="008A0410"/>
    <w:rsid w:val="008A0BE2"/>
    <w:rsid w:val="008A5E12"/>
    <w:rsid w:val="008B1907"/>
    <w:rsid w:val="008B6E7B"/>
    <w:rsid w:val="008B7DCD"/>
    <w:rsid w:val="008C7C10"/>
    <w:rsid w:val="008D0583"/>
    <w:rsid w:val="008E07B9"/>
    <w:rsid w:val="008E265D"/>
    <w:rsid w:val="008F0D1C"/>
    <w:rsid w:val="008F2D93"/>
    <w:rsid w:val="008F71A6"/>
    <w:rsid w:val="0090119F"/>
    <w:rsid w:val="009051B5"/>
    <w:rsid w:val="0090636C"/>
    <w:rsid w:val="00907A6E"/>
    <w:rsid w:val="009231F1"/>
    <w:rsid w:val="00932FFA"/>
    <w:rsid w:val="00944486"/>
    <w:rsid w:val="009445F4"/>
    <w:rsid w:val="00946BC3"/>
    <w:rsid w:val="009520EF"/>
    <w:rsid w:val="00955A6B"/>
    <w:rsid w:val="0095727A"/>
    <w:rsid w:val="00961AF0"/>
    <w:rsid w:val="00974137"/>
    <w:rsid w:val="009757B0"/>
    <w:rsid w:val="00975F24"/>
    <w:rsid w:val="00983AA1"/>
    <w:rsid w:val="00984351"/>
    <w:rsid w:val="009917E9"/>
    <w:rsid w:val="009979FD"/>
    <w:rsid w:val="009A1CE2"/>
    <w:rsid w:val="009A461B"/>
    <w:rsid w:val="009A7A7E"/>
    <w:rsid w:val="009B1A2B"/>
    <w:rsid w:val="009B34E1"/>
    <w:rsid w:val="009B4B8C"/>
    <w:rsid w:val="009B5813"/>
    <w:rsid w:val="009B701F"/>
    <w:rsid w:val="009C4FC2"/>
    <w:rsid w:val="009C7EE9"/>
    <w:rsid w:val="009E0297"/>
    <w:rsid w:val="009E55B9"/>
    <w:rsid w:val="009E6B78"/>
    <w:rsid w:val="009F1D72"/>
    <w:rsid w:val="009F2ACB"/>
    <w:rsid w:val="009F4E82"/>
    <w:rsid w:val="009F530F"/>
    <w:rsid w:val="009F5BDF"/>
    <w:rsid w:val="009F7169"/>
    <w:rsid w:val="00A0395A"/>
    <w:rsid w:val="00A0625C"/>
    <w:rsid w:val="00A112A2"/>
    <w:rsid w:val="00A15AFB"/>
    <w:rsid w:val="00A24DE4"/>
    <w:rsid w:val="00A32378"/>
    <w:rsid w:val="00A40C7A"/>
    <w:rsid w:val="00A4722C"/>
    <w:rsid w:val="00A514B7"/>
    <w:rsid w:val="00A532E1"/>
    <w:rsid w:val="00A55B46"/>
    <w:rsid w:val="00A60B7F"/>
    <w:rsid w:val="00A6333C"/>
    <w:rsid w:val="00A738A1"/>
    <w:rsid w:val="00A73941"/>
    <w:rsid w:val="00A745E9"/>
    <w:rsid w:val="00A777EE"/>
    <w:rsid w:val="00A8085C"/>
    <w:rsid w:val="00A81BAC"/>
    <w:rsid w:val="00A8478B"/>
    <w:rsid w:val="00A93971"/>
    <w:rsid w:val="00A959A2"/>
    <w:rsid w:val="00A960FC"/>
    <w:rsid w:val="00A967AC"/>
    <w:rsid w:val="00AA0889"/>
    <w:rsid w:val="00AA173A"/>
    <w:rsid w:val="00AA4D52"/>
    <w:rsid w:val="00AA7A6F"/>
    <w:rsid w:val="00AB352D"/>
    <w:rsid w:val="00AB5D4F"/>
    <w:rsid w:val="00AC0BE6"/>
    <w:rsid w:val="00AC2A97"/>
    <w:rsid w:val="00AC48F5"/>
    <w:rsid w:val="00AC6F5A"/>
    <w:rsid w:val="00AC786A"/>
    <w:rsid w:val="00AD13DB"/>
    <w:rsid w:val="00AD425F"/>
    <w:rsid w:val="00AD5B80"/>
    <w:rsid w:val="00AD7282"/>
    <w:rsid w:val="00AE6B1A"/>
    <w:rsid w:val="00AF022B"/>
    <w:rsid w:val="00B034C3"/>
    <w:rsid w:val="00B07C3B"/>
    <w:rsid w:val="00B11301"/>
    <w:rsid w:val="00B15B09"/>
    <w:rsid w:val="00B15EA5"/>
    <w:rsid w:val="00B2329E"/>
    <w:rsid w:val="00B25B57"/>
    <w:rsid w:val="00B34C96"/>
    <w:rsid w:val="00B43058"/>
    <w:rsid w:val="00B44020"/>
    <w:rsid w:val="00B4707A"/>
    <w:rsid w:val="00B506BB"/>
    <w:rsid w:val="00B54553"/>
    <w:rsid w:val="00B55E24"/>
    <w:rsid w:val="00B57AED"/>
    <w:rsid w:val="00B57EC8"/>
    <w:rsid w:val="00B6670F"/>
    <w:rsid w:val="00B66E02"/>
    <w:rsid w:val="00B756D3"/>
    <w:rsid w:val="00B80358"/>
    <w:rsid w:val="00B856BF"/>
    <w:rsid w:val="00B87E75"/>
    <w:rsid w:val="00B90885"/>
    <w:rsid w:val="00B916D3"/>
    <w:rsid w:val="00B96254"/>
    <w:rsid w:val="00BA2807"/>
    <w:rsid w:val="00BA3C4C"/>
    <w:rsid w:val="00BA5082"/>
    <w:rsid w:val="00BB193A"/>
    <w:rsid w:val="00BB2A62"/>
    <w:rsid w:val="00BB534E"/>
    <w:rsid w:val="00BB5693"/>
    <w:rsid w:val="00BD0568"/>
    <w:rsid w:val="00BD31CD"/>
    <w:rsid w:val="00BD37B6"/>
    <w:rsid w:val="00BD3AAE"/>
    <w:rsid w:val="00BD7206"/>
    <w:rsid w:val="00BE2078"/>
    <w:rsid w:val="00BE4B28"/>
    <w:rsid w:val="00BF2CA6"/>
    <w:rsid w:val="00BF74B8"/>
    <w:rsid w:val="00C0092B"/>
    <w:rsid w:val="00C00E34"/>
    <w:rsid w:val="00C0178B"/>
    <w:rsid w:val="00C02ADF"/>
    <w:rsid w:val="00C033AC"/>
    <w:rsid w:val="00C075D2"/>
    <w:rsid w:val="00C10D8C"/>
    <w:rsid w:val="00C15E1A"/>
    <w:rsid w:val="00C15F7E"/>
    <w:rsid w:val="00C16895"/>
    <w:rsid w:val="00C226B0"/>
    <w:rsid w:val="00C2381A"/>
    <w:rsid w:val="00C30132"/>
    <w:rsid w:val="00C32541"/>
    <w:rsid w:val="00C33637"/>
    <w:rsid w:val="00C3585C"/>
    <w:rsid w:val="00C35B5C"/>
    <w:rsid w:val="00C458A4"/>
    <w:rsid w:val="00C46ED3"/>
    <w:rsid w:val="00C53663"/>
    <w:rsid w:val="00C568BF"/>
    <w:rsid w:val="00C6048D"/>
    <w:rsid w:val="00C616CF"/>
    <w:rsid w:val="00C65737"/>
    <w:rsid w:val="00C657BB"/>
    <w:rsid w:val="00C663AB"/>
    <w:rsid w:val="00C706FE"/>
    <w:rsid w:val="00C7155A"/>
    <w:rsid w:val="00C73EED"/>
    <w:rsid w:val="00C74821"/>
    <w:rsid w:val="00C757A7"/>
    <w:rsid w:val="00C86556"/>
    <w:rsid w:val="00C8692C"/>
    <w:rsid w:val="00C945C0"/>
    <w:rsid w:val="00C960A6"/>
    <w:rsid w:val="00C97DEB"/>
    <w:rsid w:val="00CA4A79"/>
    <w:rsid w:val="00CA5BBC"/>
    <w:rsid w:val="00CB212C"/>
    <w:rsid w:val="00CB2DEB"/>
    <w:rsid w:val="00CB2E0D"/>
    <w:rsid w:val="00CB4181"/>
    <w:rsid w:val="00CB5B39"/>
    <w:rsid w:val="00CC2DBA"/>
    <w:rsid w:val="00CC319B"/>
    <w:rsid w:val="00CC416B"/>
    <w:rsid w:val="00CC6834"/>
    <w:rsid w:val="00CD1CDC"/>
    <w:rsid w:val="00CD2099"/>
    <w:rsid w:val="00CD57BF"/>
    <w:rsid w:val="00CD724A"/>
    <w:rsid w:val="00CD7B88"/>
    <w:rsid w:val="00CE3E2D"/>
    <w:rsid w:val="00CE647A"/>
    <w:rsid w:val="00CF2544"/>
    <w:rsid w:val="00CF7097"/>
    <w:rsid w:val="00D06BA7"/>
    <w:rsid w:val="00D06F69"/>
    <w:rsid w:val="00D113E5"/>
    <w:rsid w:val="00D118AC"/>
    <w:rsid w:val="00D14FC8"/>
    <w:rsid w:val="00D15747"/>
    <w:rsid w:val="00D26B7A"/>
    <w:rsid w:val="00D408EE"/>
    <w:rsid w:val="00D426B6"/>
    <w:rsid w:val="00D44864"/>
    <w:rsid w:val="00D568B0"/>
    <w:rsid w:val="00D57EB4"/>
    <w:rsid w:val="00D61F68"/>
    <w:rsid w:val="00D7011D"/>
    <w:rsid w:val="00D708CC"/>
    <w:rsid w:val="00D765E5"/>
    <w:rsid w:val="00D77746"/>
    <w:rsid w:val="00D85219"/>
    <w:rsid w:val="00D8529F"/>
    <w:rsid w:val="00D92261"/>
    <w:rsid w:val="00D94C3D"/>
    <w:rsid w:val="00DA08A9"/>
    <w:rsid w:val="00DA2DA5"/>
    <w:rsid w:val="00DA34C5"/>
    <w:rsid w:val="00DA4A26"/>
    <w:rsid w:val="00DB12EF"/>
    <w:rsid w:val="00DB2705"/>
    <w:rsid w:val="00DB5BD4"/>
    <w:rsid w:val="00DB623C"/>
    <w:rsid w:val="00DC1492"/>
    <w:rsid w:val="00DC47A1"/>
    <w:rsid w:val="00DC4933"/>
    <w:rsid w:val="00DC4E02"/>
    <w:rsid w:val="00DC7F24"/>
    <w:rsid w:val="00DE1B93"/>
    <w:rsid w:val="00DE3ADA"/>
    <w:rsid w:val="00DE3E58"/>
    <w:rsid w:val="00DF0478"/>
    <w:rsid w:val="00E020B7"/>
    <w:rsid w:val="00E03576"/>
    <w:rsid w:val="00E0721F"/>
    <w:rsid w:val="00E10EF5"/>
    <w:rsid w:val="00E11320"/>
    <w:rsid w:val="00E11EF6"/>
    <w:rsid w:val="00E20378"/>
    <w:rsid w:val="00E20B07"/>
    <w:rsid w:val="00E31145"/>
    <w:rsid w:val="00E35EA5"/>
    <w:rsid w:val="00E50848"/>
    <w:rsid w:val="00E62370"/>
    <w:rsid w:val="00E6315A"/>
    <w:rsid w:val="00E672FF"/>
    <w:rsid w:val="00E723ED"/>
    <w:rsid w:val="00E74B51"/>
    <w:rsid w:val="00E818E7"/>
    <w:rsid w:val="00EA0FD6"/>
    <w:rsid w:val="00EA3F62"/>
    <w:rsid w:val="00EB67DC"/>
    <w:rsid w:val="00EB6F58"/>
    <w:rsid w:val="00EB7C9D"/>
    <w:rsid w:val="00EC0857"/>
    <w:rsid w:val="00EC1223"/>
    <w:rsid w:val="00ED1971"/>
    <w:rsid w:val="00ED1B17"/>
    <w:rsid w:val="00ED7C77"/>
    <w:rsid w:val="00EE40D3"/>
    <w:rsid w:val="00EE7969"/>
    <w:rsid w:val="00EF5FA8"/>
    <w:rsid w:val="00EF7378"/>
    <w:rsid w:val="00F01F07"/>
    <w:rsid w:val="00F30134"/>
    <w:rsid w:val="00F3113C"/>
    <w:rsid w:val="00F41DF7"/>
    <w:rsid w:val="00F42174"/>
    <w:rsid w:val="00F42AF4"/>
    <w:rsid w:val="00F44D9E"/>
    <w:rsid w:val="00F476C6"/>
    <w:rsid w:val="00F541DD"/>
    <w:rsid w:val="00F544E7"/>
    <w:rsid w:val="00F55FB7"/>
    <w:rsid w:val="00F650F2"/>
    <w:rsid w:val="00F75458"/>
    <w:rsid w:val="00F80D5D"/>
    <w:rsid w:val="00F81780"/>
    <w:rsid w:val="00F82AF0"/>
    <w:rsid w:val="00F84ADD"/>
    <w:rsid w:val="00F85271"/>
    <w:rsid w:val="00F85914"/>
    <w:rsid w:val="00F86421"/>
    <w:rsid w:val="00F86ED6"/>
    <w:rsid w:val="00F920B3"/>
    <w:rsid w:val="00F97D41"/>
    <w:rsid w:val="00FA1A4C"/>
    <w:rsid w:val="00FA1CC3"/>
    <w:rsid w:val="00FA7971"/>
    <w:rsid w:val="00FB45A3"/>
    <w:rsid w:val="00FB599C"/>
    <w:rsid w:val="00FB7BEF"/>
    <w:rsid w:val="00FC2CB7"/>
    <w:rsid w:val="00FD3D02"/>
    <w:rsid w:val="00FD4975"/>
    <w:rsid w:val="00FE3E5F"/>
    <w:rsid w:val="00FE40AB"/>
    <w:rsid w:val="00FE41C8"/>
    <w:rsid w:val="00FE4669"/>
    <w:rsid w:val="00FF41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DF26AD"/>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 w:type="paragraph" w:styleId="NoSpacing">
    <w:name w:val="No Spacing"/>
    <w:uiPriority w:val="1"/>
    <w:qFormat/>
    <w:rsid w:val="00D922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FCF87EA5561F674D8302877629F7DEC1" ma:contentTypeVersion="5" ma:contentTypeDescription="" ma:contentTypeScope="" ma:versionID="280c54dfebea74a77f41ef7a0eca3d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2.xml><?xml version="1.0" encoding="utf-8"?>
<ds:datastoreItem xmlns:ds="http://schemas.openxmlformats.org/officeDocument/2006/customXml" ds:itemID="{2E63F13D-782F-4222-9F9D-50D3E77DBD70}">
  <ds:schemaRefs>
    <ds:schemaRef ds:uri="http://schemas.openxmlformats.org/package/2006/metadata/core-properties"/>
    <ds:schemaRef ds:uri="http://purl.org/dc/dcmitype/"/>
    <ds:schemaRef ds:uri="http://schemas.microsoft.com/office/2006/documentManagement/types"/>
    <ds:schemaRef ds:uri="1c8a0e75-f4bc-4eb4-8ed0-578eaea9e1ca"/>
    <ds:schemaRef ds:uri="http://purl.org/dc/elements/1.1/"/>
    <ds:schemaRef ds:uri="http://schemas.microsoft.com/office/2006/metadata/properties"/>
    <ds:schemaRef ds:uri="http://purl.org/dc/terms/"/>
    <ds:schemaRef ds:uri="c8febe6a-14d9-43ab-83c3-c48f478fa47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9C58971-FAF6-4A26-B890-B544EA4BE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D265C-58CF-484C-934E-D5CC23F3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449067E5</Template>
  <TotalTime>17</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Jessica Norman</cp:lastModifiedBy>
  <cp:revision>5</cp:revision>
  <cp:lastPrinted>2017-05-31T06:58:00Z</cp:lastPrinted>
  <dcterms:created xsi:type="dcterms:W3CDTF">2017-06-30T14:27:00Z</dcterms:created>
  <dcterms:modified xsi:type="dcterms:W3CDTF">2017-07-03T14:41:00Z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0x010100E36CFF635486D14D86451630E8C3A6A700FCF87EA5561F674D8302877629F7DEC1</vt:lpwstr>
  </property>
</Properties>
</file>